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E8C09" w14:textId="77777777" w:rsidR="00BF16E5" w:rsidRPr="00DC6AE3" w:rsidRDefault="00BF16E5" w:rsidP="00BF16E5">
      <w:pPr>
        <w:rPr>
          <w:rFonts w:cs="Arial"/>
          <w:color w:val="FF0000"/>
          <w:szCs w:val="20"/>
          <w:lang w:eastAsia="en-US"/>
        </w:rPr>
      </w:pPr>
    </w:p>
    <w:p w14:paraId="6317F67C" w14:textId="5A0F974F" w:rsidR="00DB206B" w:rsidRPr="00DC6AE3" w:rsidRDefault="00DB206B" w:rsidP="00DB206B">
      <w:pPr>
        <w:spacing w:after="120" w:line="276" w:lineRule="auto"/>
        <w:ind w:right="-15"/>
        <w:jc w:val="center"/>
        <w:rPr>
          <w:rFonts w:cs="Arial"/>
          <w:b/>
          <w:bCs/>
          <w:szCs w:val="20"/>
        </w:rPr>
      </w:pPr>
      <w:r w:rsidRPr="00DC6AE3">
        <w:rPr>
          <w:rFonts w:cs="Arial"/>
          <w:b/>
          <w:bCs/>
          <w:szCs w:val="20"/>
        </w:rPr>
        <w:t>TERMO DE REFERÊNCIA</w:t>
      </w:r>
    </w:p>
    <w:p w14:paraId="59794C20" w14:textId="77777777" w:rsidR="005B265D" w:rsidRPr="00DC6AE3" w:rsidRDefault="005B265D" w:rsidP="005B265D">
      <w:pPr>
        <w:spacing w:after="120" w:line="276" w:lineRule="auto"/>
        <w:ind w:right="-15"/>
        <w:jc w:val="center"/>
        <w:rPr>
          <w:rFonts w:cs="Arial"/>
          <w:b/>
          <w:bCs/>
          <w:szCs w:val="20"/>
        </w:rPr>
      </w:pPr>
      <w:r w:rsidRPr="00DC6AE3">
        <w:rPr>
          <w:rFonts w:cs="Arial"/>
          <w:b/>
          <w:bCs/>
          <w:szCs w:val="20"/>
        </w:rPr>
        <w:t>AGÊNCIA NACIONAL DE TRANSPORTES AQUAVIÁRIOS - ANTAQ</w:t>
      </w:r>
    </w:p>
    <w:p w14:paraId="1D6A4969" w14:textId="388AB6EC" w:rsidR="005B265D" w:rsidRPr="00DC6AE3" w:rsidRDefault="005B265D" w:rsidP="005B265D">
      <w:pPr>
        <w:spacing w:after="120" w:line="276" w:lineRule="auto"/>
        <w:ind w:right="-15"/>
        <w:jc w:val="center"/>
        <w:rPr>
          <w:rFonts w:cs="Arial"/>
          <w:b/>
          <w:bCs/>
          <w:szCs w:val="20"/>
        </w:rPr>
      </w:pPr>
      <w:r w:rsidRPr="00DC6AE3">
        <w:rPr>
          <w:rFonts w:cs="Arial"/>
          <w:b/>
          <w:bCs/>
          <w:szCs w:val="20"/>
        </w:rPr>
        <w:t xml:space="preserve">Processo Administrativo n° </w:t>
      </w:r>
      <w:r w:rsidR="004B6A61" w:rsidRPr="00DC6AE3">
        <w:rPr>
          <w:rFonts w:cs="Arial"/>
          <w:b/>
          <w:bCs/>
          <w:szCs w:val="20"/>
        </w:rPr>
        <w:t>50300.020495/2020-39</w:t>
      </w:r>
    </w:p>
    <w:p w14:paraId="3334C875" w14:textId="77777777" w:rsidR="00DB206B" w:rsidRPr="00DC6AE3" w:rsidRDefault="00DB206B" w:rsidP="000D390A">
      <w:pPr>
        <w:pStyle w:val="Nivel1"/>
        <w:rPr>
          <w:rFonts w:cs="Arial"/>
          <w:color w:val="auto"/>
          <w:sz w:val="22"/>
          <w:szCs w:val="22"/>
        </w:rPr>
      </w:pPr>
      <w:r w:rsidRPr="00DC6AE3">
        <w:rPr>
          <w:rFonts w:cs="Arial"/>
          <w:color w:val="auto"/>
          <w:sz w:val="22"/>
          <w:szCs w:val="22"/>
        </w:rPr>
        <w:t>DO OBJETO</w:t>
      </w:r>
    </w:p>
    <w:p w14:paraId="16E11BE8" w14:textId="280B8403" w:rsidR="005B265D" w:rsidRPr="00DC6AE3" w:rsidRDefault="005B265D" w:rsidP="005B265D">
      <w:pPr>
        <w:pStyle w:val="PargrafodaLista"/>
        <w:numPr>
          <w:ilvl w:val="1"/>
          <w:numId w:val="1"/>
        </w:numPr>
        <w:spacing w:before="120" w:after="120" w:line="276" w:lineRule="auto"/>
        <w:ind w:left="284" w:firstLine="0"/>
        <w:jc w:val="both"/>
        <w:rPr>
          <w:rFonts w:cs="Arial"/>
          <w:sz w:val="22"/>
          <w:szCs w:val="22"/>
        </w:rPr>
      </w:pPr>
      <w:r w:rsidRPr="00DC6AE3">
        <w:rPr>
          <w:rFonts w:cs="Arial"/>
          <w:sz w:val="22"/>
          <w:szCs w:val="22"/>
        </w:rPr>
        <w:t>Contratação de empresa especializada para prestação do serviço de transporte rodoviário intr</w:t>
      </w:r>
      <w:r w:rsidR="004B6A61" w:rsidRPr="00DC6AE3">
        <w:rPr>
          <w:rFonts w:cs="Arial"/>
          <w:sz w:val="22"/>
          <w:szCs w:val="22"/>
        </w:rPr>
        <w:t>a</w:t>
      </w:r>
      <w:r w:rsidRPr="00DC6AE3">
        <w:rPr>
          <w:rFonts w:cs="Arial"/>
          <w:sz w:val="22"/>
          <w:szCs w:val="22"/>
        </w:rPr>
        <w:t xml:space="preserve">municipal de mobiliários, cargas e volumes em geral de propriedade da ANTAQ, localizados na Unidade Regional de </w:t>
      </w:r>
      <w:r w:rsidR="004B6A61" w:rsidRPr="00DC6AE3">
        <w:rPr>
          <w:rFonts w:cs="Arial"/>
          <w:sz w:val="22"/>
          <w:szCs w:val="22"/>
        </w:rPr>
        <w:t>Fortaleza</w:t>
      </w:r>
      <w:r w:rsidRPr="00DC6AE3">
        <w:rPr>
          <w:rFonts w:cs="Arial"/>
          <w:sz w:val="22"/>
          <w:szCs w:val="22"/>
        </w:rPr>
        <w:t xml:space="preserve"> – URE</w:t>
      </w:r>
      <w:r w:rsidR="004B6A61" w:rsidRPr="00DC6AE3">
        <w:rPr>
          <w:rFonts w:cs="Arial"/>
          <w:sz w:val="22"/>
          <w:szCs w:val="22"/>
        </w:rPr>
        <w:t>FT</w:t>
      </w:r>
      <w:r w:rsidRPr="00DC6AE3">
        <w:rPr>
          <w:rFonts w:cs="Arial"/>
          <w:sz w:val="22"/>
          <w:szCs w:val="22"/>
        </w:rPr>
        <w:t>, conforme condições, quantidades e exigências estabelecidas neste instrumento:</w:t>
      </w:r>
    </w:p>
    <w:tbl>
      <w:tblPr>
        <w:tblW w:w="80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098"/>
      </w:tblGrid>
      <w:tr w:rsidR="005B265D" w:rsidRPr="00DC6AE3" w14:paraId="4A0CDFE5" w14:textId="77777777" w:rsidTr="00EE10F4">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54F84A9D" w14:textId="77777777" w:rsidR="005B265D" w:rsidRPr="00DC6AE3" w:rsidRDefault="005B265D" w:rsidP="00EE10F4">
            <w:pPr>
              <w:widowControl w:val="0"/>
              <w:suppressAutoHyphens/>
              <w:jc w:val="center"/>
              <w:rPr>
                <w:rFonts w:cs="Arial"/>
                <w:b/>
                <w:bCs/>
                <w:sz w:val="22"/>
                <w:szCs w:val="22"/>
              </w:rPr>
            </w:pPr>
            <w:r w:rsidRPr="00DC6AE3">
              <w:rPr>
                <w:rFonts w:cs="Arial"/>
                <w:b/>
                <w:bCs/>
                <w:sz w:val="22"/>
                <w:szCs w:val="22"/>
              </w:rPr>
              <w:t>Item</w:t>
            </w:r>
          </w:p>
          <w:p w14:paraId="54535B7D" w14:textId="77777777" w:rsidR="005B265D" w:rsidRPr="00DC6AE3" w:rsidRDefault="005B265D" w:rsidP="00EE10F4">
            <w:pPr>
              <w:jc w:val="center"/>
              <w:rPr>
                <w:rFonts w:cs="Arial"/>
                <w:b/>
                <w:bCs/>
                <w:sz w:val="22"/>
                <w:szCs w:val="22"/>
              </w:rPr>
            </w:pPr>
          </w:p>
        </w:tc>
        <w:tc>
          <w:tcPr>
            <w:tcW w:w="7098"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14:paraId="1CE9A287" w14:textId="77777777" w:rsidR="005B265D" w:rsidRPr="00DC6AE3" w:rsidRDefault="005B265D" w:rsidP="00EE10F4">
            <w:pPr>
              <w:widowControl w:val="0"/>
              <w:suppressAutoHyphens/>
              <w:jc w:val="center"/>
              <w:rPr>
                <w:rFonts w:cs="Arial"/>
                <w:b/>
                <w:sz w:val="22"/>
                <w:szCs w:val="22"/>
              </w:rPr>
            </w:pPr>
            <w:r w:rsidRPr="00DC6AE3">
              <w:rPr>
                <w:rFonts w:cs="Arial"/>
                <w:b/>
                <w:bCs/>
                <w:sz w:val="22"/>
                <w:szCs w:val="22"/>
              </w:rPr>
              <w:t>Especificação</w:t>
            </w:r>
          </w:p>
        </w:tc>
      </w:tr>
      <w:tr w:rsidR="005B265D" w:rsidRPr="00DC6AE3" w14:paraId="4BB5CD89" w14:textId="77777777" w:rsidTr="00EE10F4">
        <w:trPr>
          <w:jc w:val="center"/>
        </w:trPr>
        <w:tc>
          <w:tcPr>
            <w:tcW w:w="988" w:type="dxa"/>
            <w:tcBorders>
              <w:top w:val="single" w:sz="4" w:space="0" w:color="000000"/>
              <w:left w:val="single" w:sz="4" w:space="0" w:color="000000"/>
              <w:bottom w:val="single" w:sz="4" w:space="0" w:color="000000"/>
              <w:right w:val="single" w:sz="4" w:space="0" w:color="000000"/>
            </w:tcBorders>
          </w:tcPr>
          <w:p w14:paraId="6AF63FA3" w14:textId="77777777" w:rsidR="005B265D" w:rsidRPr="00DC6AE3" w:rsidRDefault="005B265D" w:rsidP="00EE10F4">
            <w:pPr>
              <w:widowControl w:val="0"/>
              <w:suppressAutoHyphens/>
              <w:spacing w:before="240" w:after="120" w:line="276" w:lineRule="auto"/>
              <w:jc w:val="center"/>
              <w:rPr>
                <w:rFonts w:cs="Arial"/>
                <w:szCs w:val="20"/>
              </w:rPr>
            </w:pPr>
            <w:r w:rsidRPr="00DC6AE3">
              <w:rPr>
                <w:rFonts w:cs="Arial"/>
                <w:szCs w:val="20"/>
              </w:rPr>
              <w:t>1</w:t>
            </w:r>
          </w:p>
        </w:tc>
        <w:tc>
          <w:tcPr>
            <w:tcW w:w="7098" w:type="dxa"/>
            <w:tcBorders>
              <w:top w:val="single" w:sz="4" w:space="0" w:color="000000"/>
              <w:left w:val="single" w:sz="4" w:space="0" w:color="000000"/>
              <w:bottom w:val="single" w:sz="4" w:space="0" w:color="000000"/>
              <w:right w:val="single" w:sz="4" w:space="0" w:color="000000"/>
            </w:tcBorders>
          </w:tcPr>
          <w:p w14:paraId="03F43C31" w14:textId="507379B1" w:rsidR="005B265D" w:rsidRPr="00DC6AE3" w:rsidRDefault="005B265D" w:rsidP="004B6A61">
            <w:pPr>
              <w:widowControl w:val="0"/>
              <w:suppressAutoHyphens/>
              <w:spacing w:after="120" w:line="276" w:lineRule="auto"/>
              <w:rPr>
                <w:rFonts w:cs="Arial"/>
                <w:szCs w:val="20"/>
              </w:rPr>
            </w:pPr>
            <w:r w:rsidRPr="00DC6AE3">
              <w:rPr>
                <w:rFonts w:cs="Arial"/>
                <w:szCs w:val="20"/>
              </w:rPr>
              <w:t>Executar os serviços de transporte rodoviário intr</w:t>
            </w:r>
            <w:r w:rsidR="004B6A61" w:rsidRPr="00DC6AE3">
              <w:rPr>
                <w:rFonts w:cs="Arial"/>
                <w:szCs w:val="20"/>
              </w:rPr>
              <w:t>a</w:t>
            </w:r>
            <w:r w:rsidRPr="00DC6AE3">
              <w:rPr>
                <w:rFonts w:cs="Arial"/>
                <w:szCs w:val="20"/>
              </w:rPr>
              <w:t>municipal de mobiliários, cargas e volumes em geral. Os serviços compreendem a desmontagem, embalagem e retirada do local de origem, descarga dos mobiliários, cargas e volumes em geral, transportados e montados no local indicado, bem como todas as operações que se fizerem necessárias para a execução do respectivo serviço.</w:t>
            </w:r>
          </w:p>
        </w:tc>
      </w:tr>
    </w:tbl>
    <w:p w14:paraId="4D272827" w14:textId="77777777" w:rsidR="00A82891" w:rsidRPr="00DC6AE3" w:rsidRDefault="00A82891" w:rsidP="00DB206B">
      <w:pPr>
        <w:autoSpaceDE w:val="0"/>
        <w:spacing w:after="120" w:line="276" w:lineRule="auto"/>
        <w:jc w:val="both"/>
        <w:rPr>
          <w:rFonts w:cs="Arial"/>
          <w:szCs w:val="20"/>
        </w:rPr>
      </w:pPr>
    </w:p>
    <w:p w14:paraId="1953782B" w14:textId="20743CB2" w:rsidR="00DD3603" w:rsidRPr="00DC6AE3" w:rsidRDefault="00DD3603" w:rsidP="00A50CE8">
      <w:pPr>
        <w:numPr>
          <w:ilvl w:val="1"/>
          <w:numId w:val="1"/>
        </w:numPr>
        <w:spacing w:before="120" w:after="120" w:line="276" w:lineRule="auto"/>
        <w:ind w:left="284" w:firstLine="0"/>
        <w:jc w:val="both"/>
        <w:rPr>
          <w:rFonts w:cs="Arial"/>
          <w:sz w:val="22"/>
          <w:szCs w:val="22"/>
        </w:rPr>
      </w:pPr>
      <w:r w:rsidRPr="00DC6AE3">
        <w:rPr>
          <w:rFonts w:cs="Arial"/>
          <w:sz w:val="22"/>
          <w:szCs w:val="22"/>
        </w:rPr>
        <w:t xml:space="preserve">O objeto da licitação </w:t>
      </w:r>
      <w:r w:rsidR="00042693" w:rsidRPr="00DC6AE3">
        <w:rPr>
          <w:rFonts w:cs="Arial"/>
          <w:sz w:val="22"/>
          <w:szCs w:val="22"/>
        </w:rPr>
        <w:t>tem a natureza de serviço comum.</w:t>
      </w:r>
    </w:p>
    <w:p w14:paraId="26494E62" w14:textId="71ADE069" w:rsidR="00042693" w:rsidRPr="00DC6AE3" w:rsidRDefault="00042693" w:rsidP="00A50CE8">
      <w:pPr>
        <w:numPr>
          <w:ilvl w:val="1"/>
          <w:numId w:val="1"/>
        </w:numPr>
        <w:spacing w:before="120" w:after="120" w:line="276" w:lineRule="auto"/>
        <w:ind w:left="284" w:firstLine="0"/>
        <w:jc w:val="both"/>
        <w:rPr>
          <w:rFonts w:cs="Arial"/>
          <w:sz w:val="22"/>
          <w:szCs w:val="22"/>
        </w:rPr>
      </w:pPr>
      <w:r w:rsidRPr="00DC6AE3">
        <w:rPr>
          <w:rFonts w:cs="Arial"/>
          <w:sz w:val="22"/>
          <w:szCs w:val="22"/>
        </w:rPr>
        <w:t>A contratação abrange mão-de-obra e todo o material necessário para a realização do serviço.</w:t>
      </w:r>
    </w:p>
    <w:p w14:paraId="11CD741E" w14:textId="64C841D1" w:rsidR="00A82891" w:rsidRPr="00DC6AE3" w:rsidRDefault="00A82891" w:rsidP="00A50CE8">
      <w:pPr>
        <w:numPr>
          <w:ilvl w:val="1"/>
          <w:numId w:val="1"/>
        </w:numPr>
        <w:spacing w:before="120" w:after="120" w:line="276" w:lineRule="auto"/>
        <w:ind w:left="284" w:firstLine="0"/>
        <w:jc w:val="both"/>
        <w:rPr>
          <w:rFonts w:cs="Arial"/>
          <w:sz w:val="22"/>
          <w:szCs w:val="22"/>
        </w:rPr>
      </w:pPr>
      <w:r w:rsidRPr="00DC6AE3">
        <w:rPr>
          <w:rFonts w:cs="Arial"/>
          <w:sz w:val="22"/>
          <w:szCs w:val="22"/>
        </w:rPr>
        <w:t>A presente contratação adotará como regime de execução a Empreitada por Preço Global</w:t>
      </w:r>
      <w:r w:rsidR="00042693" w:rsidRPr="00DC6AE3">
        <w:rPr>
          <w:rFonts w:cs="Arial"/>
          <w:sz w:val="22"/>
          <w:szCs w:val="22"/>
        </w:rPr>
        <w:t>.</w:t>
      </w:r>
    </w:p>
    <w:p w14:paraId="3E6B5864" w14:textId="79816175" w:rsidR="00042693" w:rsidRPr="00DC6AE3" w:rsidRDefault="00042693" w:rsidP="00042693">
      <w:pPr>
        <w:numPr>
          <w:ilvl w:val="1"/>
          <w:numId w:val="1"/>
        </w:numPr>
        <w:spacing w:before="120" w:after="120" w:line="276" w:lineRule="auto"/>
        <w:ind w:left="284" w:firstLine="0"/>
        <w:jc w:val="both"/>
        <w:rPr>
          <w:rFonts w:cs="Arial"/>
          <w:sz w:val="22"/>
          <w:szCs w:val="22"/>
        </w:rPr>
      </w:pPr>
      <w:r w:rsidRPr="00DC6AE3">
        <w:rPr>
          <w:rFonts w:cs="Arial"/>
          <w:sz w:val="22"/>
          <w:szCs w:val="22"/>
        </w:rPr>
        <w:t>O prazo de vigência do contrato é de 30 (trinta) dias, podendo ser encerrado antes do prazo de vigência, quando concluída a prestação do serviço.</w:t>
      </w:r>
      <w:r w:rsidR="006A0019" w:rsidRPr="006A0019">
        <w:rPr>
          <w:rFonts w:cs="Arial"/>
          <w:sz w:val="22"/>
          <w:szCs w:val="22"/>
        </w:rPr>
        <w:t xml:space="preserve"> Conforme previsto no art. 62 da Lei nº 8.666, de 1993, o contrato poderá ser substituído pela nota de empenho.</w:t>
      </w:r>
    </w:p>
    <w:p w14:paraId="2195BE70" w14:textId="04859A52" w:rsidR="001F7078" w:rsidRPr="00DC6AE3" w:rsidRDefault="001F7078" w:rsidP="001F7078">
      <w:pPr>
        <w:numPr>
          <w:ilvl w:val="1"/>
          <w:numId w:val="1"/>
        </w:numPr>
        <w:spacing w:before="120" w:after="120" w:line="276" w:lineRule="auto"/>
        <w:ind w:left="284" w:firstLine="0"/>
        <w:jc w:val="both"/>
        <w:rPr>
          <w:rFonts w:cs="Arial"/>
          <w:sz w:val="22"/>
          <w:szCs w:val="22"/>
        </w:rPr>
      </w:pPr>
      <w:r w:rsidRPr="00DC6AE3">
        <w:rPr>
          <w:rFonts w:cs="Arial"/>
          <w:sz w:val="22"/>
          <w:szCs w:val="22"/>
        </w:rPr>
        <w:t>A prestação do serviço será iniciada nas datas e locais detalhados no item 7 deste termo de referência.</w:t>
      </w:r>
    </w:p>
    <w:p w14:paraId="3A5D2D25" w14:textId="77777777" w:rsidR="001E65F6" w:rsidRPr="004D0462" w:rsidRDefault="001E65F6" w:rsidP="000D390A">
      <w:pPr>
        <w:pStyle w:val="Nivel1"/>
        <w:rPr>
          <w:rFonts w:cs="Arial"/>
          <w:color w:val="auto"/>
          <w:sz w:val="22"/>
          <w:szCs w:val="22"/>
        </w:rPr>
      </w:pPr>
      <w:r w:rsidRPr="004D0462">
        <w:rPr>
          <w:rFonts w:cs="Arial"/>
          <w:color w:val="auto"/>
          <w:sz w:val="22"/>
          <w:szCs w:val="22"/>
        </w:rPr>
        <w:t>JUSTIFICATIVA E OBJETIVO DA CONTRATAÇÃO</w:t>
      </w:r>
    </w:p>
    <w:p w14:paraId="2C15B410" w14:textId="4B6FB22C" w:rsidR="006A0019" w:rsidRPr="004D0462" w:rsidRDefault="006A0019" w:rsidP="006A0019">
      <w:pPr>
        <w:numPr>
          <w:ilvl w:val="1"/>
          <w:numId w:val="1"/>
        </w:numPr>
        <w:spacing w:before="120" w:after="120" w:line="276" w:lineRule="auto"/>
        <w:ind w:left="284" w:firstLine="0"/>
        <w:jc w:val="both"/>
        <w:rPr>
          <w:rFonts w:eastAsiaTheme="minorHAnsi" w:cs="Arial"/>
          <w:sz w:val="22"/>
          <w:szCs w:val="22"/>
          <w:lang w:eastAsia="en-US"/>
        </w:rPr>
      </w:pPr>
      <w:r w:rsidRPr="004D0462">
        <w:rPr>
          <w:rFonts w:cs="Arial"/>
          <w:sz w:val="22"/>
          <w:szCs w:val="22"/>
        </w:rPr>
        <w:t xml:space="preserve">Diante da mudança de endereço da Unidade Regional de Fortaleza – UREFT, </w:t>
      </w:r>
      <w:r w:rsidRPr="004D0462">
        <w:rPr>
          <w:rFonts w:eastAsiaTheme="minorHAnsi" w:cs="Arial"/>
          <w:sz w:val="22"/>
          <w:szCs w:val="22"/>
          <w:lang w:eastAsia="en-US"/>
        </w:rPr>
        <w:t xml:space="preserve">toda a estrutura da sede administrativa da ANTAQ no estado do Ceará será transferida </w:t>
      </w:r>
      <w:r w:rsidRPr="004D0462">
        <w:rPr>
          <w:rFonts w:cs="Arial"/>
          <w:sz w:val="22"/>
          <w:szCs w:val="22"/>
        </w:rPr>
        <w:t>para um novo endereço</w:t>
      </w:r>
      <w:r w:rsidRPr="004D0462">
        <w:rPr>
          <w:rFonts w:eastAsiaTheme="minorHAnsi" w:cs="Arial"/>
          <w:sz w:val="22"/>
          <w:szCs w:val="22"/>
          <w:lang w:eastAsia="en-US"/>
        </w:rPr>
        <w:t>. Como os mobiliários e equipamentos serão reaproveitados na nova sede, faz-se necessária a contratação de empresa especializada no serviço de transporte rodoviário intramunicipal para transportar estes itens</w:t>
      </w:r>
      <w:r w:rsidR="00A86069" w:rsidRPr="004D0462">
        <w:rPr>
          <w:rFonts w:eastAsiaTheme="minorHAnsi" w:cs="Arial"/>
          <w:sz w:val="22"/>
          <w:szCs w:val="22"/>
          <w:lang w:eastAsia="en-US"/>
        </w:rPr>
        <w:t xml:space="preserve"> para a</w:t>
      </w:r>
      <w:r w:rsidR="00A86069" w:rsidRPr="004D0462">
        <w:rPr>
          <w:rFonts w:cs="Arial"/>
          <w:sz w:val="22"/>
          <w:szCs w:val="22"/>
        </w:rPr>
        <w:t xml:space="preserve"> futura sede administrativa da Unidade Regional da ANTAQ em Fortaleza (UREFT).</w:t>
      </w:r>
    </w:p>
    <w:p w14:paraId="1D46616E" w14:textId="0C53A738" w:rsidR="00DD3603" w:rsidRPr="004D0462" w:rsidRDefault="00DD3603" w:rsidP="00DD3603">
      <w:pPr>
        <w:pStyle w:val="Nivel1"/>
        <w:rPr>
          <w:rFonts w:cs="Arial"/>
          <w:color w:val="auto"/>
          <w:sz w:val="22"/>
          <w:szCs w:val="22"/>
        </w:rPr>
      </w:pPr>
      <w:r w:rsidRPr="004D0462">
        <w:rPr>
          <w:rFonts w:cs="Arial"/>
          <w:color w:val="auto"/>
          <w:sz w:val="22"/>
          <w:szCs w:val="22"/>
        </w:rPr>
        <w:t>DESCRIÇÃO DA SOLUÇÃO:</w:t>
      </w:r>
    </w:p>
    <w:p w14:paraId="266BEF41" w14:textId="66C15ECA" w:rsidR="00EE10F4" w:rsidRDefault="00EE10F4" w:rsidP="00EE10F4">
      <w:pPr>
        <w:numPr>
          <w:ilvl w:val="1"/>
          <w:numId w:val="1"/>
        </w:numPr>
        <w:spacing w:before="120" w:after="120" w:line="276" w:lineRule="auto"/>
        <w:ind w:left="284" w:firstLine="0"/>
        <w:jc w:val="both"/>
        <w:rPr>
          <w:rFonts w:eastAsiaTheme="minorHAnsi" w:cs="Arial"/>
          <w:sz w:val="22"/>
          <w:szCs w:val="22"/>
          <w:lang w:eastAsia="en-US"/>
        </w:rPr>
      </w:pPr>
      <w:r w:rsidRPr="004D0462">
        <w:rPr>
          <w:rFonts w:eastAsiaTheme="minorHAnsi" w:cs="Arial"/>
          <w:sz w:val="22"/>
          <w:szCs w:val="22"/>
          <w:lang w:eastAsia="en-US"/>
        </w:rPr>
        <w:t>A descrição da solução como um todo, abrange a prestação do serviço de</w:t>
      </w:r>
      <w:r w:rsidRPr="004D0462">
        <w:rPr>
          <w:rFonts w:cs="Arial"/>
          <w:sz w:val="22"/>
          <w:szCs w:val="22"/>
        </w:rPr>
        <w:t xml:space="preserve"> transporte rodoviário intr</w:t>
      </w:r>
      <w:r w:rsidR="004D0462" w:rsidRPr="004D0462">
        <w:rPr>
          <w:rFonts w:cs="Arial"/>
          <w:sz w:val="22"/>
          <w:szCs w:val="22"/>
        </w:rPr>
        <w:t>a</w:t>
      </w:r>
      <w:r w:rsidRPr="004D0462">
        <w:rPr>
          <w:rFonts w:cs="Arial"/>
          <w:sz w:val="22"/>
          <w:szCs w:val="22"/>
        </w:rPr>
        <w:t>municipal de mobiliários, cargas e volumes em geral</w:t>
      </w:r>
      <w:r w:rsidR="004D0462" w:rsidRPr="004D0462">
        <w:rPr>
          <w:rFonts w:cs="Arial"/>
          <w:sz w:val="22"/>
          <w:szCs w:val="22"/>
        </w:rPr>
        <w:t>,</w:t>
      </w:r>
      <w:r w:rsidRPr="004D0462">
        <w:rPr>
          <w:rFonts w:cs="Arial"/>
          <w:sz w:val="22"/>
          <w:szCs w:val="22"/>
        </w:rPr>
        <w:t xml:space="preserve"> de propriedade da ANTAQ, localizados </w:t>
      </w:r>
      <w:r w:rsidR="004D0462" w:rsidRPr="004D0462">
        <w:rPr>
          <w:rFonts w:cs="Arial"/>
          <w:sz w:val="22"/>
          <w:szCs w:val="22"/>
        </w:rPr>
        <w:t>na Unidade Regional de Fortaleza</w:t>
      </w:r>
      <w:r w:rsidRPr="004D0462">
        <w:rPr>
          <w:rFonts w:cs="Arial"/>
          <w:sz w:val="22"/>
          <w:szCs w:val="22"/>
        </w:rPr>
        <w:t xml:space="preserve"> – URE</w:t>
      </w:r>
      <w:r w:rsidR="004D0462" w:rsidRPr="004D0462">
        <w:rPr>
          <w:rFonts w:cs="Arial"/>
          <w:sz w:val="22"/>
          <w:szCs w:val="22"/>
        </w:rPr>
        <w:t>FT</w:t>
      </w:r>
      <w:r w:rsidRPr="004D0462">
        <w:rPr>
          <w:rFonts w:cs="Arial"/>
          <w:sz w:val="22"/>
          <w:szCs w:val="22"/>
        </w:rPr>
        <w:t>,</w:t>
      </w:r>
      <w:r w:rsidR="004D0462" w:rsidRPr="004D0462">
        <w:rPr>
          <w:rFonts w:eastAsiaTheme="minorHAnsi" w:cs="Arial"/>
          <w:sz w:val="22"/>
          <w:szCs w:val="22"/>
          <w:lang w:eastAsia="en-US"/>
        </w:rPr>
        <w:t xml:space="preserve"> para o</w:t>
      </w:r>
      <w:r w:rsidRPr="004D0462">
        <w:rPr>
          <w:rFonts w:eastAsiaTheme="minorHAnsi" w:cs="Arial"/>
          <w:sz w:val="22"/>
          <w:szCs w:val="22"/>
          <w:lang w:eastAsia="en-US"/>
        </w:rPr>
        <w:t xml:space="preserve"> nov</w:t>
      </w:r>
      <w:r w:rsidR="004D0462" w:rsidRPr="004D0462">
        <w:rPr>
          <w:rFonts w:eastAsiaTheme="minorHAnsi" w:cs="Arial"/>
          <w:sz w:val="22"/>
          <w:szCs w:val="22"/>
          <w:lang w:eastAsia="en-US"/>
        </w:rPr>
        <w:t>o endereço</w:t>
      </w:r>
      <w:r w:rsidRPr="004D0462">
        <w:rPr>
          <w:rFonts w:eastAsiaTheme="minorHAnsi" w:cs="Arial"/>
          <w:sz w:val="22"/>
          <w:szCs w:val="22"/>
          <w:lang w:eastAsia="en-US"/>
        </w:rPr>
        <w:t>, com o fornecimento de todo o material de consumo necessário e equipamentos adequados à execução dos trabalhos.</w:t>
      </w:r>
    </w:p>
    <w:p w14:paraId="7843CBCF" w14:textId="3FAEE8D2" w:rsidR="004D0462" w:rsidRPr="004D0462" w:rsidRDefault="004D0462" w:rsidP="004D0462">
      <w:pPr>
        <w:numPr>
          <w:ilvl w:val="1"/>
          <w:numId w:val="1"/>
        </w:numPr>
        <w:spacing w:before="120" w:after="120" w:line="276" w:lineRule="auto"/>
        <w:ind w:left="284" w:firstLine="0"/>
        <w:jc w:val="both"/>
        <w:rPr>
          <w:rFonts w:eastAsiaTheme="minorHAnsi" w:cs="Arial"/>
          <w:sz w:val="22"/>
          <w:szCs w:val="22"/>
          <w:lang w:eastAsia="en-US"/>
        </w:rPr>
      </w:pPr>
      <w:r w:rsidRPr="004D0462">
        <w:rPr>
          <w:rFonts w:eastAsiaTheme="minorHAnsi" w:cs="Arial"/>
          <w:sz w:val="22"/>
          <w:szCs w:val="22"/>
          <w:lang w:eastAsia="en-US"/>
        </w:rPr>
        <w:t xml:space="preserve">Trata a contratação de serviços acessórios e complementares, que é indispensável à ANTAQ, em face de não existir profissional no quadro do órgão para exercer esta atividade. O serviço, ora solicitado, destina-se à realização de atividades sob demanda, nas áreas administrativas, </w:t>
      </w:r>
      <w:r w:rsidRPr="004D0462">
        <w:rPr>
          <w:rFonts w:eastAsiaTheme="minorHAnsi" w:cs="Arial"/>
          <w:sz w:val="22"/>
          <w:szCs w:val="22"/>
          <w:lang w:eastAsia="en-US"/>
        </w:rPr>
        <w:lastRenderedPageBreak/>
        <w:t>instrumentais e complementares aos assuntos que constituem área de competência legal da ANTAQ.</w:t>
      </w:r>
    </w:p>
    <w:p w14:paraId="6801F69C" w14:textId="77777777" w:rsidR="00241785" w:rsidRPr="000F7DB8" w:rsidRDefault="00241785" w:rsidP="00241785">
      <w:pPr>
        <w:pStyle w:val="Nivel1"/>
        <w:rPr>
          <w:rFonts w:cs="Arial"/>
          <w:color w:val="auto"/>
          <w:sz w:val="22"/>
          <w:szCs w:val="22"/>
        </w:rPr>
      </w:pPr>
      <w:r w:rsidRPr="000F7DB8">
        <w:rPr>
          <w:rFonts w:cs="Arial"/>
          <w:color w:val="auto"/>
          <w:sz w:val="22"/>
          <w:szCs w:val="22"/>
        </w:rPr>
        <w:t>DA CLASSIFICAÇÃO DOS SERVIÇOS E FORMA DE SELEÇÃO DO FORNECEDOR</w:t>
      </w:r>
    </w:p>
    <w:p w14:paraId="2E617D62" w14:textId="6046DD57" w:rsidR="0082594B" w:rsidRPr="000F7DB8" w:rsidRDefault="0082594B" w:rsidP="00927FEB">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Trata-se de serviço comum, </w:t>
      </w:r>
      <w:r w:rsidR="00BA6F63" w:rsidRPr="000F7DB8">
        <w:rPr>
          <w:rFonts w:eastAsiaTheme="minorHAnsi" w:cs="Arial"/>
          <w:sz w:val="22"/>
          <w:szCs w:val="22"/>
          <w:lang w:eastAsia="en-US"/>
        </w:rPr>
        <w:t>não continuado,</w:t>
      </w:r>
      <w:r w:rsidR="00FB4FE6" w:rsidRPr="000F7DB8">
        <w:rPr>
          <w:rFonts w:eastAsiaTheme="minorHAnsi" w:cs="Arial"/>
          <w:sz w:val="22"/>
          <w:szCs w:val="22"/>
          <w:lang w:eastAsia="en-US"/>
        </w:rPr>
        <w:t xml:space="preserve"> nos termos do parágrafo único, do art. 1º, da Lei 10.520/2002, c/c art. 3º, II do Decreto 10.024/2019,</w:t>
      </w:r>
      <w:r w:rsidR="00875A25" w:rsidRPr="000F7DB8">
        <w:rPr>
          <w:rFonts w:eastAsiaTheme="minorHAnsi" w:cs="Arial"/>
          <w:sz w:val="22"/>
          <w:szCs w:val="22"/>
          <w:lang w:eastAsia="en-US"/>
        </w:rPr>
        <w:t xml:space="preserve"> </w:t>
      </w:r>
      <w:r w:rsidRPr="000F7DB8">
        <w:rPr>
          <w:rFonts w:eastAsiaTheme="minorHAnsi" w:cs="Arial"/>
          <w:sz w:val="22"/>
          <w:szCs w:val="22"/>
          <w:lang w:eastAsia="en-US"/>
        </w:rPr>
        <w:t xml:space="preserve">a ser contratado mediante </w:t>
      </w:r>
      <w:r w:rsidR="00927FEB" w:rsidRPr="000F7DB8">
        <w:rPr>
          <w:rFonts w:eastAsiaTheme="minorHAnsi" w:cs="Arial"/>
          <w:sz w:val="22"/>
          <w:szCs w:val="22"/>
          <w:lang w:eastAsia="en-US"/>
        </w:rPr>
        <w:t>dispensa de licitação</w:t>
      </w:r>
      <w:r w:rsidRPr="000F7DB8">
        <w:rPr>
          <w:rFonts w:eastAsiaTheme="minorHAnsi" w:cs="Arial"/>
          <w:sz w:val="22"/>
          <w:szCs w:val="22"/>
          <w:lang w:eastAsia="en-US"/>
        </w:rPr>
        <w:t>.</w:t>
      </w:r>
    </w:p>
    <w:p w14:paraId="79596512" w14:textId="13CA20E2" w:rsidR="00DB206B" w:rsidRPr="000F7DB8" w:rsidRDefault="00DB206B" w:rsidP="00FB4FE6">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Os serviços a serem contratados enquadram-se nos pressupostos do Decreto n° </w:t>
      </w:r>
      <w:r w:rsidR="00563005" w:rsidRPr="000F7DB8">
        <w:rPr>
          <w:rFonts w:eastAsiaTheme="minorHAnsi" w:cs="Arial"/>
          <w:sz w:val="22"/>
          <w:szCs w:val="22"/>
          <w:lang w:eastAsia="en-US"/>
        </w:rPr>
        <w:t>9.507</w:t>
      </w:r>
      <w:r w:rsidRPr="000F7DB8">
        <w:rPr>
          <w:rFonts w:eastAsiaTheme="minorHAnsi" w:cs="Arial"/>
          <w:sz w:val="22"/>
          <w:szCs w:val="22"/>
          <w:lang w:eastAsia="en-US"/>
        </w:rPr>
        <w:t xml:space="preserve">, de </w:t>
      </w:r>
      <w:r w:rsidR="00563005" w:rsidRPr="000F7DB8">
        <w:rPr>
          <w:rFonts w:eastAsiaTheme="minorHAnsi" w:cs="Arial"/>
          <w:sz w:val="22"/>
          <w:szCs w:val="22"/>
          <w:lang w:eastAsia="en-US"/>
        </w:rPr>
        <w:t>21 de setembro de 2018</w:t>
      </w:r>
      <w:r w:rsidRPr="000F7DB8">
        <w:rPr>
          <w:rFonts w:eastAsiaTheme="minorHAnsi" w:cs="Arial"/>
          <w:sz w:val="22"/>
          <w:szCs w:val="22"/>
          <w:lang w:eastAsia="en-US"/>
        </w:rPr>
        <w:t xml:space="preserve">, </w:t>
      </w:r>
      <w:r w:rsidR="00563005" w:rsidRPr="000F7DB8">
        <w:rPr>
          <w:rFonts w:eastAsiaTheme="minorHAnsi" w:cs="Arial"/>
          <w:sz w:val="22"/>
          <w:szCs w:val="22"/>
          <w:lang w:eastAsia="en-US"/>
        </w:rPr>
        <w:t>não se constituindo em quaisquer das atividades, previstas no art. 3º do aludido decreto, cuja execução indireta é vedada</w:t>
      </w:r>
      <w:r w:rsidRPr="000F7DB8">
        <w:rPr>
          <w:rFonts w:eastAsiaTheme="minorHAnsi" w:cs="Arial"/>
          <w:sz w:val="22"/>
          <w:szCs w:val="22"/>
          <w:lang w:eastAsia="en-US"/>
        </w:rPr>
        <w:t>.</w:t>
      </w:r>
    </w:p>
    <w:p w14:paraId="7587653D" w14:textId="77777777" w:rsidR="00DB206B" w:rsidRPr="000F7DB8" w:rsidRDefault="00DB206B" w:rsidP="00FB4FE6">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A prestação dos serviços não gera vínculo empregatício entre os empregados da </w:t>
      </w:r>
      <w:r w:rsidR="00D52359" w:rsidRPr="000F7DB8">
        <w:rPr>
          <w:rFonts w:eastAsiaTheme="minorHAnsi" w:cs="Arial"/>
          <w:sz w:val="22"/>
          <w:szCs w:val="22"/>
          <w:lang w:eastAsia="en-US"/>
        </w:rPr>
        <w:t>Contratada</w:t>
      </w:r>
      <w:r w:rsidRPr="000F7DB8">
        <w:rPr>
          <w:rFonts w:eastAsiaTheme="minorHAnsi" w:cs="Arial"/>
          <w:sz w:val="22"/>
          <w:szCs w:val="22"/>
          <w:lang w:eastAsia="en-US"/>
        </w:rPr>
        <w:t xml:space="preserve"> e a Administração</w:t>
      </w:r>
      <w:r w:rsidR="00940AD0" w:rsidRPr="000F7DB8">
        <w:rPr>
          <w:rFonts w:eastAsiaTheme="minorHAnsi" w:cs="Arial"/>
          <w:sz w:val="22"/>
          <w:szCs w:val="22"/>
          <w:lang w:eastAsia="en-US"/>
        </w:rPr>
        <w:t xml:space="preserve"> Contratante</w:t>
      </w:r>
      <w:r w:rsidRPr="000F7DB8">
        <w:rPr>
          <w:rFonts w:eastAsiaTheme="minorHAnsi" w:cs="Arial"/>
          <w:sz w:val="22"/>
          <w:szCs w:val="22"/>
          <w:lang w:eastAsia="en-US"/>
        </w:rPr>
        <w:t>, vedando-se qualquer relação entre estes que caracterize pessoalidade e subordinação direta.</w:t>
      </w:r>
    </w:p>
    <w:p w14:paraId="3E710D65" w14:textId="77777777" w:rsidR="0082594B" w:rsidRPr="000F7DB8" w:rsidRDefault="0082594B" w:rsidP="0082594B">
      <w:pPr>
        <w:pStyle w:val="Nivel1"/>
        <w:rPr>
          <w:rFonts w:cs="Arial"/>
          <w:color w:val="auto"/>
          <w:sz w:val="22"/>
          <w:szCs w:val="22"/>
        </w:rPr>
      </w:pPr>
      <w:r w:rsidRPr="000F7DB8">
        <w:rPr>
          <w:rFonts w:cs="Arial"/>
          <w:color w:val="auto"/>
          <w:sz w:val="22"/>
          <w:szCs w:val="22"/>
        </w:rPr>
        <w:t>REQUISITOS DA CONTRATAÇÃO</w:t>
      </w:r>
    </w:p>
    <w:p w14:paraId="121BB9F4" w14:textId="67D62D69" w:rsidR="0082594B" w:rsidRPr="000F7DB8" w:rsidRDefault="00A50CE8" w:rsidP="00231A13">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O</w:t>
      </w:r>
      <w:r w:rsidR="0082594B" w:rsidRPr="000F7DB8">
        <w:rPr>
          <w:rFonts w:eastAsiaTheme="minorHAnsi" w:cs="Arial"/>
          <w:sz w:val="22"/>
          <w:szCs w:val="22"/>
          <w:lang w:eastAsia="en-US"/>
        </w:rPr>
        <w:t>s requisitos da contratação abrangem o seguinte:</w:t>
      </w:r>
    </w:p>
    <w:p w14:paraId="6E7055D9" w14:textId="28DCD3A6" w:rsidR="00231A13" w:rsidRPr="000F7DB8" w:rsidRDefault="00231A13" w:rsidP="009947E7">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Os profissionais a serem alocados nas atividades deverão possuir a formação exigida pelos sindicatos da categoria e legislação vigente aplicável.</w:t>
      </w:r>
    </w:p>
    <w:p w14:paraId="1C3CDC3E" w14:textId="0EDDCF8F" w:rsidR="00231A13" w:rsidRPr="000F7DB8" w:rsidRDefault="00231A13" w:rsidP="009947E7">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Adotar os seguintes critérios e práticas de sustentabilidade:</w:t>
      </w:r>
    </w:p>
    <w:p w14:paraId="65F7AE3A" w14:textId="77777777" w:rsidR="00231A13" w:rsidRPr="000F7DB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 xml:space="preserve">Utilizar materiais biodegradáveis; </w:t>
      </w:r>
    </w:p>
    <w:p w14:paraId="74828D34" w14:textId="1EEC2FEF" w:rsidR="00231A13" w:rsidRPr="000F7DB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 xml:space="preserve">Os empregados da CONTRATADA devem ser orientados a realizar a separação consciente do lixo, para reciclagem. </w:t>
      </w:r>
    </w:p>
    <w:p w14:paraId="4F6FF568" w14:textId="77777777" w:rsidR="00231A13" w:rsidRPr="000F7DB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 xml:space="preserve">Racionalização/economia no consumo de energia (especialmente elétrica) e água; </w:t>
      </w:r>
    </w:p>
    <w:p w14:paraId="7FCF4904" w14:textId="5E7FD965" w:rsidR="00231A13" w:rsidRPr="000F7DB8"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 xml:space="preserve">Seguir as normas técnicas de saúde, higiene e de segurança do trabalho, </w:t>
      </w:r>
      <w:r w:rsidR="009947E7" w:rsidRPr="000F7DB8">
        <w:rPr>
          <w:rFonts w:eastAsiaTheme="minorHAnsi" w:cs="Arial"/>
          <w:sz w:val="22"/>
          <w:szCs w:val="22"/>
          <w:lang w:eastAsia="en-US"/>
        </w:rPr>
        <w:t>de acordo com as normas do M</w:t>
      </w:r>
      <w:r w:rsidR="008A04D0" w:rsidRPr="000F7DB8">
        <w:rPr>
          <w:rFonts w:eastAsiaTheme="minorHAnsi" w:cs="Arial"/>
          <w:sz w:val="22"/>
          <w:szCs w:val="22"/>
          <w:lang w:eastAsia="en-US"/>
        </w:rPr>
        <w:t>TE</w:t>
      </w:r>
      <w:r w:rsidR="009947E7" w:rsidRPr="000F7DB8">
        <w:rPr>
          <w:rFonts w:eastAsiaTheme="minorHAnsi" w:cs="Arial"/>
          <w:sz w:val="22"/>
          <w:szCs w:val="22"/>
          <w:lang w:eastAsia="en-US"/>
        </w:rPr>
        <w:t>.</w:t>
      </w:r>
    </w:p>
    <w:p w14:paraId="048BB52D" w14:textId="0AFFD3D0" w:rsidR="008A04D0" w:rsidRPr="000F7DB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Atender às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7EB22EC6" w14:textId="77777777" w:rsidR="008A04D0" w:rsidRPr="000F7DB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Utilizar, quando possível, no momento da embalagem dos bens invólucros biodegradáveis ou com madeira de reflorestamento, devidamente certificada.</w:t>
      </w:r>
    </w:p>
    <w:p w14:paraId="5C780CB0" w14:textId="01A02884" w:rsidR="008A04D0" w:rsidRPr="000F7DB8"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0F7DB8">
        <w:rPr>
          <w:rFonts w:eastAsiaTheme="minorHAnsi" w:cs="Arial"/>
          <w:sz w:val="22"/>
          <w:szCs w:val="22"/>
          <w:lang w:eastAsia="en-US"/>
        </w:rPr>
        <w:t>Utilizar veículo, quando possível, que não utilize combustível fóssil.</w:t>
      </w:r>
    </w:p>
    <w:p w14:paraId="77EEE398" w14:textId="77777777" w:rsidR="0082594B" w:rsidRPr="000F7DB8" w:rsidRDefault="0082594B"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Declaração do licitante de que tem pleno conhecimento das condições necessárias para a prestação do serviço.</w:t>
      </w:r>
    </w:p>
    <w:p w14:paraId="28526F13" w14:textId="5233B31E" w:rsidR="0082594B" w:rsidRPr="000F7DB8" w:rsidRDefault="0082594B"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As obrigações da Contratada e Contrat</w:t>
      </w:r>
      <w:r w:rsidR="000F7DB8" w:rsidRPr="000F7DB8">
        <w:rPr>
          <w:rFonts w:eastAsiaTheme="minorHAnsi" w:cs="Arial"/>
          <w:sz w:val="22"/>
          <w:szCs w:val="22"/>
          <w:lang w:eastAsia="en-US"/>
        </w:rPr>
        <w:t>ante estão previstas neste TR.</w:t>
      </w:r>
    </w:p>
    <w:p w14:paraId="55DA9180" w14:textId="0AF8F3FD" w:rsidR="0082594B" w:rsidRPr="000F7DB8" w:rsidRDefault="003D389C" w:rsidP="000D390A">
      <w:pPr>
        <w:pStyle w:val="Nivel1"/>
        <w:rPr>
          <w:rFonts w:cs="Arial"/>
          <w:color w:val="auto"/>
          <w:sz w:val="22"/>
          <w:szCs w:val="22"/>
        </w:rPr>
      </w:pPr>
      <w:r w:rsidRPr="000F7DB8">
        <w:rPr>
          <w:rFonts w:cs="Arial"/>
          <w:color w:val="auto"/>
          <w:sz w:val="22"/>
          <w:szCs w:val="22"/>
        </w:rPr>
        <w:t>VISTORIA PARA A LICITAÇÃO</w:t>
      </w:r>
    </w:p>
    <w:p w14:paraId="24FEC929" w14:textId="73771A08" w:rsidR="009947E7" w:rsidRPr="000F7DB8"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Para o correto dimensionamento e elaboração de sua proposta, o licitante poderá realizar vistoria nas instalações </w:t>
      </w:r>
      <w:r w:rsidR="009947E7" w:rsidRPr="000F7DB8">
        <w:rPr>
          <w:rFonts w:eastAsiaTheme="minorHAnsi" w:cs="Arial"/>
          <w:sz w:val="22"/>
          <w:szCs w:val="22"/>
          <w:lang w:eastAsia="en-US"/>
        </w:rPr>
        <w:t>no local onde estão armazenados a bagagem/mobília</w:t>
      </w:r>
      <w:r w:rsidRPr="000F7DB8">
        <w:rPr>
          <w:rFonts w:eastAsiaTheme="minorHAnsi" w:cs="Arial"/>
          <w:sz w:val="22"/>
          <w:szCs w:val="22"/>
          <w:lang w:eastAsia="en-US"/>
        </w:rPr>
        <w:t xml:space="preserve">, acompanhado por servidor designado para esse fim, </w:t>
      </w:r>
      <w:r w:rsidRPr="00A137D5">
        <w:rPr>
          <w:rFonts w:eastAsiaTheme="minorHAnsi" w:cs="Arial"/>
          <w:sz w:val="22"/>
          <w:szCs w:val="22"/>
          <w:lang w:eastAsia="en-US"/>
        </w:rPr>
        <w:t>de segunda à sexta-feira, das</w:t>
      </w:r>
      <w:r w:rsidR="009947E7" w:rsidRPr="00A137D5">
        <w:rPr>
          <w:rFonts w:eastAsiaTheme="minorHAnsi" w:cs="Arial"/>
          <w:sz w:val="22"/>
          <w:szCs w:val="22"/>
          <w:lang w:eastAsia="en-US"/>
        </w:rPr>
        <w:t xml:space="preserve"> 09:00 horas às 16:30 horas, devendo o agendamento ser efetuado previamente pelo telefone (</w:t>
      </w:r>
      <w:r w:rsidR="004863F8" w:rsidRPr="00A137D5">
        <w:rPr>
          <w:rFonts w:eastAsiaTheme="minorHAnsi" w:cs="Arial"/>
          <w:sz w:val="22"/>
          <w:szCs w:val="22"/>
          <w:lang w:eastAsia="en-US"/>
        </w:rPr>
        <w:t>61</w:t>
      </w:r>
      <w:r w:rsidR="009947E7" w:rsidRPr="00A137D5">
        <w:rPr>
          <w:rFonts w:eastAsiaTheme="minorHAnsi" w:cs="Arial"/>
          <w:sz w:val="22"/>
          <w:szCs w:val="22"/>
          <w:lang w:eastAsia="en-US"/>
        </w:rPr>
        <w:t xml:space="preserve">) </w:t>
      </w:r>
      <w:r w:rsidR="004863F8" w:rsidRPr="00A137D5">
        <w:rPr>
          <w:rFonts w:eastAsiaTheme="minorHAnsi" w:cs="Arial"/>
          <w:sz w:val="22"/>
          <w:szCs w:val="22"/>
          <w:lang w:eastAsia="en-US"/>
        </w:rPr>
        <w:t>98300</w:t>
      </w:r>
      <w:r w:rsidR="009947E7" w:rsidRPr="00A137D5">
        <w:rPr>
          <w:rFonts w:eastAsiaTheme="minorHAnsi" w:cs="Arial"/>
          <w:sz w:val="22"/>
          <w:szCs w:val="22"/>
          <w:lang w:eastAsia="en-US"/>
        </w:rPr>
        <w:t>-</w:t>
      </w:r>
      <w:r w:rsidR="004863F8" w:rsidRPr="00A137D5">
        <w:rPr>
          <w:rFonts w:eastAsiaTheme="minorHAnsi" w:cs="Arial"/>
          <w:sz w:val="22"/>
          <w:szCs w:val="22"/>
          <w:lang w:eastAsia="en-US"/>
        </w:rPr>
        <w:t>1941</w:t>
      </w:r>
      <w:r w:rsidR="009947E7" w:rsidRPr="00A137D5">
        <w:rPr>
          <w:rFonts w:eastAsiaTheme="minorHAnsi" w:cs="Arial"/>
          <w:sz w:val="22"/>
          <w:szCs w:val="22"/>
          <w:lang w:eastAsia="en-US"/>
        </w:rPr>
        <w:t>,</w:t>
      </w:r>
      <w:r w:rsidR="009947E7" w:rsidRPr="000F7DB8">
        <w:rPr>
          <w:rFonts w:eastAsiaTheme="minorHAnsi" w:cs="Arial"/>
          <w:sz w:val="22"/>
          <w:szCs w:val="22"/>
          <w:lang w:eastAsia="en-US"/>
        </w:rPr>
        <w:t xml:space="preserve"> podendo sua realização ser comprovada por:</w:t>
      </w:r>
    </w:p>
    <w:p w14:paraId="5D77DF64" w14:textId="77777777" w:rsidR="009947E7" w:rsidRPr="000F7DB8" w:rsidRDefault="009947E7" w:rsidP="009947E7">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lastRenderedPageBreak/>
        <w:t>Atestado de vistoria assinado pelo servidor responsável, conforme item 3.3 do Anexo VII-A da IN SEGES/MP n. 5/2017;</w:t>
      </w:r>
    </w:p>
    <w:p w14:paraId="5AC1F3B1" w14:textId="77777777" w:rsidR="009947E7" w:rsidRPr="000F7DB8" w:rsidRDefault="009947E7" w:rsidP="009947E7">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Para a vistoria, o licitante, ou o seu representante, deverá estar devidamente identificado.</w:t>
      </w:r>
    </w:p>
    <w:p w14:paraId="002F3443" w14:textId="05C23C2A" w:rsidR="003D389C" w:rsidRPr="000F7DB8"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1E5AD04E" w14:textId="77777777" w:rsidR="003D389C" w:rsidRPr="000F7DB8"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275A0D67" w14:textId="365A8B54" w:rsidR="003D389C" w:rsidRPr="000F7DB8"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A licitante deverá declarar que tomou conhecimento de todas as informações e das condições locais para o cumprimento das obrigações objeto da licitação.</w:t>
      </w:r>
    </w:p>
    <w:p w14:paraId="00F4A7AE" w14:textId="77777777" w:rsidR="007B7E1C" w:rsidRPr="000F7DB8" w:rsidRDefault="007B7E1C" w:rsidP="007B7E1C">
      <w:pPr>
        <w:pStyle w:val="Nivel1"/>
        <w:rPr>
          <w:rFonts w:cs="Arial"/>
          <w:color w:val="auto"/>
          <w:sz w:val="22"/>
          <w:szCs w:val="22"/>
        </w:rPr>
      </w:pPr>
      <w:r w:rsidRPr="000F7DB8">
        <w:rPr>
          <w:rFonts w:cs="Arial"/>
          <w:color w:val="auto"/>
          <w:sz w:val="22"/>
          <w:szCs w:val="22"/>
        </w:rPr>
        <w:t>MODELO DE EXECUÇÃO DO OBJETO</w:t>
      </w:r>
    </w:p>
    <w:p w14:paraId="2906D21E" w14:textId="77777777" w:rsidR="0069402F" w:rsidRPr="000F7DB8" w:rsidRDefault="0069402F" w:rsidP="0069402F">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Os serviços serão executados conforme discriminado abaixo:</w:t>
      </w:r>
    </w:p>
    <w:p w14:paraId="126EB3A4" w14:textId="79D77515"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 xml:space="preserve">Executar os serviços de transporte de mobiliários dentro da própria cidade de </w:t>
      </w:r>
      <w:r w:rsidR="000F7DB8" w:rsidRPr="000F7DB8">
        <w:rPr>
          <w:rFonts w:eastAsiaTheme="minorHAnsi" w:cs="Arial"/>
          <w:sz w:val="22"/>
          <w:szCs w:val="22"/>
          <w:lang w:eastAsia="en-US"/>
        </w:rPr>
        <w:t>Fortaleza/CE</w:t>
      </w:r>
      <w:r w:rsidRPr="000F7DB8">
        <w:rPr>
          <w:rFonts w:eastAsiaTheme="minorHAnsi" w:cs="Arial"/>
          <w:sz w:val="22"/>
          <w:szCs w:val="22"/>
          <w:lang w:eastAsia="en-US"/>
        </w:rPr>
        <w:t xml:space="preserve">, com deslocamento na mudança de origem e destinos com </w:t>
      </w:r>
      <w:r w:rsidR="005878FA" w:rsidRPr="005878FA">
        <w:rPr>
          <w:rFonts w:eastAsiaTheme="minorHAnsi" w:cs="Arial"/>
          <w:sz w:val="22"/>
          <w:szCs w:val="22"/>
          <w:lang w:eastAsia="en-US"/>
        </w:rPr>
        <w:t>distância total aproximada de 15</w:t>
      </w:r>
      <w:r w:rsidRPr="005878FA">
        <w:rPr>
          <w:rFonts w:eastAsiaTheme="minorHAnsi" w:cs="Arial"/>
          <w:sz w:val="22"/>
          <w:szCs w:val="22"/>
          <w:lang w:eastAsia="en-US"/>
        </w:rPr>
        <w:t>km.</w:t>
      </w:r>
    </w:p>
    <w:p w14:paraId="177DE799" w14:textId="37C5F0C5"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 xml:space="preserve">Serão transportadas cargas e volumes em geral, do mobiliário (bens móveis) da Unidade Regional de </w:t>
      </w:r>
      <w:r w:rsidR="000F7DB8" w:rsidRPr="000F7DB8">
        <w:rPr>
          <w:rFonts w:eastAsiaTheme="minorHAnsi" w:cs="Arial"/>
          <w:sz w:val="22"/>
          <w:szCs w:val="22"/>
          <w:lang w:eastAsia="en-US"/>
        </w:rPr>
        <w:t>Fortaleza</w:t>
      </w:r>
      <w:r w:rsidRPr="000F7DB8">
        <w:rPr>
          <w:rFonts w:eastAsiaTheme="minorHAnsi" w:cs="Arial"/>
          <w:sz w:val="22"/>
          <w:szCs w:val="22"/>
          <w:lang w:eastAsia="en-US"/>
        </w:rPr>
        <w:t>, mediante Nota de Empenho ou outro documento da ANTAQ, não sendo admitidas quaisquer alterações sem prévio conhecimento e aprovação desta Agência.</w:t>
      </w:r>
    </w:p>
    <w:p w14:paraId="05B79302" w14:textId="7CA434B4"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Os serviços compreendem a desmontagem, embalagem e retirada do local de origem, descarga dos mobiliários, cargas e volumes em geral de propriedade da ANTAQ/</w:t>
      </w:r>
      <w:r w:rsidR="000F7DB8" w:rsidRPr="000F7DB8">
        <w:rPr>
          <w:rFonts w:eastAsiaTheme="minorHAnsi" w:cs="Arial"/>
          <w:sz w:val="22"/>
          <w:szCs w:val="22"/>
          <w:lang w:eastAsia="en-US"/>
        </w:rPr>
        <w:t>Fortaleza</w:t>
      </w:r>
      <w:r w:rsidRPr="000F7DB8">
        <w:rPr>
          <w:rFonts w:eastAsiaTheme="minorHAnsi" w:cs="Arial"/>
          <w:sz w:val="22"/>
          <w:szCs w:val="22"/>
          <w:lang w:eastAsia="en-US"/>
        </w:rPr>
        <w:t>, como também a montagem dos mesmos nos locais indicados, bem como todas as operações que se fizerem necessárias;</w:t>
      </w:r>
    </w:p>
    <w:p w14:paraId="6A606548" w14:textId="77777777" w:rsidR="00A562C5" w:rsidRPr="000F7DB8" w:rsidRDefault="00A562C5" w:rsidP="00A562C5">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Os serviços deverão ser executados com base nos parâmetros mínimos a seguir estabelecidos:</w:t>
      </w:r>
    </w:p>
    <w:p w14:paraId="0F1A693B" w14:textId="58C83458"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Retirada de toda mobília e pertenças na origem, conforme lista (item 7.4), incluindo desmontagem;</w:t>
      </w:r>
    </w:p>
    <w:p w14:paraId="0343A965" w14:textId="51B7E53E"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Entrega da mobília e pertenças no destino, conforme lista (item 7.4), incluindo montagem.</w:t>
      </w:r>
    </w:p>
    <w:p w14:paraId="55C63A91" w14:textId="075B7B25"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Entrega de toda a mobília no endereço de destino, sem avarias;</w:t>
      </w:r>
    </w:p>
    <w:p w14:paraId="30C1B355" w14:textId="3D8FCC0F"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Entrega de toda a mobília no endereço de destino, no prazo contratado.</w:t>
      </w:r>
    </w:p>
    <w:p w14:paraId="3516559E" w14:textId="574EE417" w:rsidR="0069402F" w:rsidRPr="000F7DB8" w:rsidRDefault="0069402F" w:rsidP="0069402F">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 xml:space="preserve">A execução dos serviços será realizada no </w:t>
      </w:r>
      <w:r w:rsidRPr="00A137D5">
        <w:rPr>
          <w:rFonts w:eastAsiaTheme="minorHAnsi" w:cs="Arial"/>
          <w:sz w:val="22"/>
          <w:szCs w:val="22"/>
          <w:lang w:eastAsia="en-US"/>
        </w:rPr>
        <w:t xml:space="preserve">dia </w:t>
      </w:r>
      <w:r w:rsidR="001D279B" w:rsidRPr="00A137D5">
        <w:rPr>
          <w:rFonts w:eastAsiaTheme="minorHAnsi" w:cs="Arial"/>
          <w:sz w:val="22"/>
          <w:szCs w:val="22"/>
          <w:lang w:eastAsia="en-US"/>
        </w:rPr>
        <w:t>19</w:t>
      </w:r>
      <w:r w:rsidRPr="00A137D5">
        <w:rPr>
          <w:rFonts w:eastAsiaTheme="minorHAnsi" w:cs="Arial"/>
          <w:sz w:val="22"/>
          <w:szCs w:val="22"/>
          <w:lang w:eastAsia="en-US"/>
        </w:rPr>
        <w:t>/</w:t>
      </w:r>
      <w:r w:rsidR="001D279B" w:rsidRPr="00A137D5">
        <w:rPr>
          <w:rFonts w:eastAsiaTheme="minorHAnsi" w:cs="Arial"/>
          <w:sz w:val="22"/>
          <w:szCs w:val="22"/>
          <w:lang w:eastAsia="en-US"/>
        </w:rPr>
        <w:t>11</w:t>
      </w:r>
      <w:r w:rsidRPr="00A137D5">
        <w:rPr>
          <w:rFonts w:eastAsiaTheme="minorHAnsi" w:cs="Arial"/>
          <w:sz w:val="22"/>
          <w:szCs w:val="22"/>
          <w:lang w:eastAsia="en-US"/>
        </w:rPr>
        <w:t>/2020</w:t>
      </w:r>
      <w:r w:rsidRPr="000F7DB8">
        <w:rPr>
          <w:rFonts w:eastAsiaTheme="minorHAnsi" w:cs="Arial"/>
          <w:sz w:val="22"/>
          <w:szCs w:val="22"/>
          <w:lang w:eastAsia="en-US"/>
        </w:rPr>
        <w:t>, após recebimento da nota de empenho emitida pela ANTAQ, na forma que segue:</w:t>
      </w:r>
    </w:p>
    <w:p w14:paraId="34DF5E6C" w14:textId="379DC156"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Será encaminhada nota de empenho à empresa contratada contendo as informações do local de origem e destinos, descrição e quantitativo de bagagem/mobília, prazo para execução da mudança, contatos com o representante da ANTAQ.</w:t>
      </w:r>
    </w:p>
    <w:p w14:paraId="78362EC5" w14:textId="617FB3B9" w:rsidR="0069402F" w:rsidRPr="000F7DB8"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 xml:space="preserve">O prazo para a conclusão do serviço de mudança será de até </w:t>
      </w:r>
      <w:r w:rsidR="000F7DB8" w:rsidRPr="000F7DB8">
        <w:rPr>
          <w:rFonts w:eastAsiaTheme="minorHAnsi" w:cs="Arial"/>
          <w:sz w:val="22"/>
          <w:szCs w:val="22"/>
          <w:lang w:eastAsia="en-US"/>
        </w:rPr>
        <w:t>5</w:t>
      </w:r>
      <w:r w:rsidRPr="000F7DB8">
        <w:rPr>
          <w:rFonts w:eastAsiaTheme="minorHAnsi" w:cs="Arial"/>
          <w:sz w:val="22"/>
          <w:szCs w:val="22"/>
          <w:lang w:eastAsia="en-US"/>
        </w:rPr>
        <w:t xml:space="preserve"> dias a partir da emissão da nota de empenho por parte da ANTAQ.</w:t>
      </w:r>
    </w:p>
    <w:p w14:paraId="258B3625" w14:textId="16190209" w:rsidR="00A562C5" w:rsidRPr="000F7DB8" w:rsidRDefault="00A562C5" w:rsidP="00A562C5">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 xml:space="preserve">Os bens e pertenças devem ser recolhidos no endereço especificado como origem (item 7.4) na data prevista do dia </w:t>
      </w:r>
      <w:r w:rsidR="00E85291">
        <w:rPr>
          <w:rFonts w:eastAsiaTheme="minorHAnsi" w:cs="Arial"/>
          <w:sz w:val="22"/>
          <w:szCs w:val="22"/>
          <w:lang w:eastAsia="en-US"/>
        </w:rPr>
        <w:t>19</w:t>
      </w:r>
      <w:r w:rsidRPr="00A137D5">
        <w:rPr>
          <w:rFonts w:eastAsiaTheme="minorHAnsi" w:cs="Arial"/>
          <w:sz w:val="22"/>
          <w:szCs w:val="22"/>
          <w:lang w:eastAsia="en-US"/>
        </w:rPr>
        <w:t>/</w:t>
      </w:r>
      <w:r w:rsidR="00E85291" w:rsidRPr="00A137D5">
        <w:rPr>
          <w:rFonts w:eastAsiaTheme="minorHAnsi" w:cs="Arial"/>
          <w:sz w:val="22"/>
          <w:szCs w:val="22"/>
          <w:lang w:eastAsia="en-US"/>
        </w:rPr>
        <w:t>11</w:t>
      </w:r>
      <w:r w:rsidRPr="00A137D5">
        <w:rPr>
          <w:rFonts w:eastAsiaTheme="minorHAnsi" w:cs="Arial"/>
          <w:sz w:val="22"/>
          <w:szCs w:val="22"/>
          <w:lang w:eastAsia="en-US"/>
        </w:rPr>
        <w:t>/2020</w:t>
      </w:r>
      <w:r w:rsidRPr="000F7DB8">
        <w:rPr>
          <w:rFonts w:eastAsiaTheme="minorHAnsi" w:cs="Arial"/>
          <w:sz w:val="22"/>
          <w:szCs w:val="22"/>
          <w:lang w:eastAsia="en-US"/>
        </w:rPr>
        <w:t xml:space="preserve">, iniciando o processo de desmonte dos móveis </w:t>
      </w:r>
      <w:r w:rsidRPr="000F7DB8">
        <w:rPr>
          <w:rFonts w:eastAsiaTheme="minorHAnsi" w:cs="Arial"/>
          <w:sz w:val="22"/>
          <w:szCs w:val="22"/>
          <w:lang w:eastAsia="en-US"/>
        </w:rPr>
        <w:lastRenderedPageBreak/>
        <w:t xml:space="preserve">às 08:00 hs, podendo a empresa de transporte contratada, com aceite da </w:t>
      </w:r>
      <w:r w:rsidR="000F7DB8" w:rsidRPr="000F7DB8">
        <w:rPr>
          <w:rFonts w:eastAsiaTheme="minorHAnsi" w:cs="Arial"/>
          <w:sz w:val="22"/>
          <w:szCs w:val="22"/>
          <w:lang w:eastAsia="en-US"/>
        </w:rPr>
        <w:t>UREFT</w:t>
      </w:r>
      <w:r w:rsidRPr="000F7DB8">
        <w:rPr>
          <w:rFonts w:eastAsiaTheme="minorHAnsi" w:cs="Arial"/>
          <w:sz w:val="22"/>
          <w:szCs w:val="22"/>
          <w:lang w:eastAsia="en-US"/>
        </w:rPr>
        <w:t>, realizar qualquer tipo de serviço destinado a mudança (Embalagem, desmontagem, retirada das persianas) com até 2 dias de antecedência a data do carregamento dos móveis e pertenças.</w:t>
      </w:r>
    </w:p>
    <w:p w14:paraId="598EE7FA" w14:textId="77777777" w:rsidR="0069402F" w:rsidRPr="000F7DB8" w:rsidRDefault="0069402F" w:rsidP="00F76888">
      <w:pPr>
        <w:numPr>
          <w:ilvl w:val="1"/>
          <w:numId w:val="1"/>
        </w:numPr>
        <w:spacing w:before="120" w:after="120" w:line="276" w:lineRule="auto"/>
        <w:ind w:left="284" w:firstLine="0"/>
        <w:jc w:val="both"/>
        <w:rPr>
          <w:rFonts w:eastAsiaTheme="minorHAnsi" w:cs="Arial"/>
          <w:sz w:val="22"/>
          <w:szCs w:val="22"/>
          <w:lang w:eastAsia="en-US"/>
        </w:rPr>
      </w:pPr>
      <w:r w:rsidRPr="000F7DB8">
        <w:rPr>
          <w:rFonts w:eastAsiaTheme="minorHAnsi" w:cs="Arial"/>
          <w:sz w:val="22"/>
          <w:szCs w:val="22"/>
          <w:lang w:eastAsia="en-US"/>
        </w:rPr>
        <w:t>A demanda do órgão tem como base as seguintes características:</w:t>
      </w:r>
    </w:p>
    <w:p w14:paraId="45A67A77" w14:textId="310D42D2" w:rsidR="00F76888" w:rsidRPr="000F7DB8" w:rsidRDefault="00F76888" w:rsidP="00F76888">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Para o dimensionamento da proposta, será disponibilizado a relação de bens com suas especificações, quantitativo e valor (tabela abaixo) a fim de as empresas participantes orcem o custo do serviço, levando-se em consideração o acréscimo do custo do seguro.</w:t>
      </w:r>
    </w:p>
    <w:p w14:paraId="21F41293" w14:textId="77777777" w:rsidR="0069402F" w:rsidRPr="000F7DB8" w:rsidRDefault="0069402F" w:rsidP="00F76888">
      <w:pPr>
        <w:numPr>
          <w:ilvl w:val="2"/>
          <w:numId w:val="1"/>
        </w:numPr>
        <w:spacing w:before="120" w:after="120" w:line="276" w:lineRule="auto"/>
        <w:ind w:left="709" w:firstLine="0"/>
        <w:jc w:val="both"/>
        <w:rPr>
          <w:rFonts w:eastAsiaTheme="minorHAnsi" w:cs="Arial"/>
          <w:sz w:val="22"/>
          <w:szCs w:val="22"/>
          <w:lang w:eastAsia="en-US"/>
        </w:rPr>
      </w:pPr>
      <w:r w:rsidRPr="000F7DB8">
        <w:rPr>
          <w:rFonts w:eastAsiaTheme="minorHAnsi" w:cs="Arial"/>
          <w:sz w:val="22"/>
          <w:szCs w:val="22"/>
          <w:lang w:eastAsia="en-US"/>
        </w:rPr>
        <w:t>Informações sobre os locais de (origem/destino) e bens a serem transportados na mudança:</w:t>
      </w:r>
    </w:p>
    <w:p w14:paraId="2B794B40" w14:textId="6BE1C7C0" w:rsidR="0069402F" w:rsidRPr="00A137D5" w:rsidRDefault="0069402F" w:rsidP="008005F5">
      <w:pPr>
        <w:pStyle w:val="Textbody"/>
        <w:numPr>
          <w:ilvl w:val="0"/>
          <w:numId w:val="7"/>
        </w:numPr>
        <w:spacing w:before="120" w:after="0" w:line="240" w:lineRule="auto"/>
        <w:ind w:left="1587" w:hanging="397"/>
        <w:rPr>
          <w:rFonts w:ascii="Arial" w:eastAsiaTheme="minorHAnsi" w:hAnsi="Arial" w:cs="Arial"/>
          <w:kern w:val="0"/>
          <w:sz w:val="22"/>
          <w:szCs w:val="22"/>
          <w:lang w:eastAsia="en-US" w:bidi="ar-SA"/>
        </w:rPr>
      </w:pPr>
      <w:r w:rsidRPr="00A137D5">
        <w:rPr>
          <w:rFonts w:ascii="Arial" w:hAnsi="Arial" w:cs="Arial"/>
          <w:b/>
          <w:sz w:val="22"/>
          <w:szCs w:val="22"/>
        </w:rPr>
        <w:t>Origem</w:t>
      </w:r>
      <w:r w:rsidRPr="00A137D5">
        <w:rPr>
          <w:rFonts w:ascii="Arial" w:hAnsi="Arial" w:cs="Arial"/>
          <w:sz w:val="22"/>
          <w:szCs w:val="22"/>
        </w:rPr>
        <w:t xml:space="preserve">: </w:t>
      </w:r>
      <w:r w:rsidR="001B373F" w:rsidRPr="00A137D5">
        <w:rPr>
          <w:rFonts w:ascii="Arial" w:eastAsiaTheme="minorHAnsi" w:hAnsi="Arial" w:cs="Arial"/>
          <w:kern w:val="0"/>
          <w:sz w:val="22"/>
          <w:szCs w:val="22"/>
          <w:lang w:eastAsia="en-US" w:bidi="ar-SA"/>
        </w:rPr>
        <w:t>Av. Santos Dumont, nº 2122, salas 1007 a 1010, Edifício Manhattan Center, Aldeota, Fortaleza – CE. CEP60150-161.</w:t>
      </w:r>
    </w:p>
    <w:p w14:paraId="6748926A" w14:textId="32E1FA9A" w:rsidR="0069402F" w:rsidRDefault="0069402F" w:rsidP="008005F5">
      <w:pPr>
        <w:pStyle w:val="Textbody"/>
        <w:numPr>
          <w:ilvl w:val="0"/>
          <w:numId w:val="7"/>
        </w:numPr>
        <w:spacing w:before="120" w:after="0" w:line="240" w:lineRule="auto"/>
        <w:ind w:left="1560" w:hanging="357"/>
        <w:rPr>
          <w:rFonts w:ascii="Arial" w:eastAsiaTheme="minorHAnsi" w:hAnsi="Arial" w:cs="Arial"/>
          <w:kern w:val="0"/>
          <w:sz w:val="22"/>
          <w:szCs w:val="22"/>
          <w:lang w:eastAsia="en-US" w:bidi="ar-SA"/>
        </w:rPr>
      </w:pPr>
      <w:r w:rsidRPr="00A137D5">
        <w:rPr>
          <w:rFonts w:ascii="Arial" w:hAnsi="Arial" w:cs="Arial"/>
          <w:b/>
          <w:sz w:val="22"/>
          <w:szCs w:val="22"/>
        </w:rPr>
        <w:t>Destino</w:t>
      </w:r>
      <w:r w:rsidRPr="00A137D5">
        <w:rPr>
          <w:rFonts w:ascii="Arial" w:hAnsi="Arial" w:cs="Arial"/>
          <w:sz w:val="22"/>
          <w:szCs w:val="22"/>
        </w:rPr>
        <w:t xml:space="preserve">: </w:t>
      </w:r>
      <w:r w:rsidR="001B373F" w:rsidRPr="00A137D5">
        <w:rPr>
          <w:rFonts w:ascii="Arial" w:eastAsiaTheme="minorHAnsi" w:hAnsi="Arial" w:cs="Arial"/>
          <w:kern w:val="0"/>
          <w:sz w:val="22"/>
          <w:szCs w:val="22"/>
          <w:lang w:eastAsia="en-US" w:bidi="ar-SA"/>
        </w:rPr>
        <w:t>Praça Amigos da Marinha, s/n,</w:t>
      </w:r>
      <w:r w:rsidR="002F23D8" w:rsidRPr="00A137D5">
        <w:rPr>
          <w:rFonts w:ascii="Arial" w:eastAsiaTheme="minorHAnsi" w:hAnsi="Arial" w:cs="Arial"/>
          <w:kern w:val="0"/>
          <w:sz w:val="22"/>
          <w:szCs w:val="22"/>
          <w:lang w:eastAsia="en-US" w:bidi="ar-SA"/>
        </w:rPr>
        <w:t xml:space="preserve"> Mucuripe, Fortaleza </w:t>
      </w:r>
      <w:r w:rsidR="001B373F" w:rsidRPr="00A137D5">
        <w:rPr>
          <w:rFonts w:ascii="Arial" w:eastAsiaTheme="minorHAnsi" w:hAnsi="Arial" w:cs="Arial"/>
          <w:kern w:val="0"/>
          <w:sz w:val="22"/>
          <w:szCs w:val="22"/>
          <w:lang w:eastAsia="en-US" w:bidi="ar-SA"/>
        </w:rPr>
        <w:t>–</w:t>
      </w:r>
      <w:r w:rsidR="002F23D8" w:rsidRPr="00A137D5">
        <w:rPr>
          <w:rFonts w:ascii="Arial" w:eastAsiaTheme="minorHAnsi" w:hAnsi="Arial" w:cs="Arial"/>
          <w:kern w:val="0"/>
          <w:sz w:val="22"/>
          <w:szCs w:val="22"/>
          <w:lang w:eastAsia="en-US" w:bidi="ar-SA"/>
        </w:rPr>
        <w:t xml:space="preserve"> CE</w:t>
      </w:r>
      <w:r w:rsidR="001B373F" w:rsidRPr="00A137D5">
        <w:rPr>
          <w:rFonts w:ascii="Arial" w:eastAsiaTheme="minorHAnsi" w:hAnsi="Arial" w:cs="Arial"/>
          <w:kern w:val="0"/>
          <w:sz w:val="22"/>
          <w:szCs w:val="22"/>
          <w:lang w:eastAsia="en-US" w:bidi="ar-SA"/>
        </w:rPr>
        <w:t>.</w:t>
      </w:r>
      <w:r w:rsidR="002F23D8" w:rsidRPr="00A137D5">
        <w:rPr>
          <w:rFonts w:ascii="Arial" w:eastAsiaTheme="minorHAnsi" w:hAnsi="Arial" w:cs="Arial"/>
          <w:kern w:val="0"/>
          <w:sz w:val="22"/>
          <w:szCs w:val="22"/>
          <w:lang w:eastAsia="en-US" w:bidi="ar-SA"/>
        </w:rPr>
        <w:t xml:space="preserve"> CEP 60180-422</w:t>
      </w:r>
      <w:r w:rsidR="001B373F" w:rsidRPr="00A137D5">
        <w:rPr>
          <w:rFonts w:ascii="Arial" w:eastAsiaTheme="minorHAnsi" w:hAnsi="Arial" w:cs="Arial"/>
          <w:kern w:val="0"/>
          <w:sz w:val="22"/>
          <w:szCs w:val="22"/>
          <w:lang w:eastAsia="en-US" w:bidi="ar-SA"/>
        </w:rPr>
        <w:t>.</w:t>
      </w:r>
    </w:p>
    <w:p w14:paraId="2257B107" w14:textId="77777777" w:rsidR="00F7224D" w:rsidRPr="00A137D5" w:rsidRDefault="00F7224D" w:rsidP="00F7224D">
      <w:pPr>
        <w:pStyle w:val="Textbody"/>
        <w:spacing w:before="120" w:after="0" w:line="240" w:lineRule="auto"/>
        <w:ind w:left="1560"/>
        <w:rPr>
          <w:rFonts w:ascii="Arial" w:eastAsiaTheme="minorHAnsi" w:hAnsi="Arial" w:cs="Arial"/>
          <w:kern w:val="0"/>
          <w:sz w:val="22"/>
          <w:szCs w:val="22"/>
          <w:lang w:eastAsia="en-US" w:bidi="ar-SA"/>
        </w:rPr>
      </w:pPr>
    </w:p>
    <w:p w14:paraId="6873AD79" w14:textId="77777777" w:rsidR="006406ED" w:rsidRPr="00DC6AE3" w:rsidRDefault="006406ED" w:rsidP="0069402F">
      <w:pPr>
        <w:pStyle w:val="Textbody"/>
        <w:spacing w:before="120" w:after="0" w:line="240" w:lineRule="auto"/>
        <w:rPr>
          <w:color w:val="FF0000"/>
        </w:rPr>
      </w:pPr>
    </w:p>
    <w:p w14:paraId="3D190A3B" w14:textId="086F3A3D" w:rsidR="00F7224D" w:rsidRPr="005878FA" w:rsidRDefault="0069402F" w:rsidP="0069402F">
      <w:pPr>
        <w:pStyle w:val="Textbody"/>
        <w:rPr>
          <w:rFonts w:ascii="Arial" w:eastAsiaTheme="minorHAnsi" w:hAnsi="Arial" w:cs="Arial"/>
          <w:b/>
          <w:kern w:val="0"/>
          <w:sz w:val="22"/>
          <w:szCs w:val="22"/>
          <w:lang w:eastAsia="en-US" w:bidi="ar-SA"/>
        </w:rPr>
      </w:pPr>
      <w:r w:rsidRPr="005878FA">
        <w:rPr>
          <w:rFonts w:ascii="Arial" w:eastAsiaTheme="minorHAnsi" w:hAnsi="Arial" w:cs="Arial"/>
          <w:b/>
          <w:kern w:val="0"/>
          <w:sz w:val="22"/>
          <w:szCs w:val="22"/>
          <w:lang w:eastAsia="en-US" w:bidi="ar-SA"/>
        </w:rPr>
        <w:t xml:space="preserve">LISTA DE BENS DA </w:t>
      </w:r>
      <w:r w:rsidR="000F7DB8" w:rsidRPr="005878FA">
        <w:rPr>
          <w:rFonts w:ascii="Arial" w:eastAsiaTheme="minorHAnsi" w:hAnsi="Arial" w:cs="Arial"/>
          <w:b/>
          <w:kern w:val="0"/>
          <w:sz w:val="22"/>
          <w:szCs w:val="22"/>
          <w:lang w:eastAsia="en-US" w:bidi="ar-SA"/>
        </w:rPr>
        <w:t>UREFT</w:t>
      </w:r>
      <w:r w:rsidR="00977A25" w:rsidRPr="005878FA">
        <w:rPr>
          <w:rFonts w:ascii="Arial" w:eastAsiaTheme="minorHAnsi" w:hAnsi="Arial" w:cs="Arial"/>
          <w:b/>
          <w:kern w:val="0"/>
          <w:sz w:val="22"/>
          <w:szCs w:val="22"/>
          <w:lang w:eastAsia="en-US" w:bidi="ar-SA"/>
        </w:rPr>
        <w:t xml:space="preserve"> QUE </w:t>
      </w:r>
      <w:r w:rsidR="00364BC4" w:rsidRPr="005878FA">
        <w:rPr>
          <w:rFonts w:ascii="Arial" w:eastAsiaTheme="minorHAnsi" w:hAnsi="Arial" w:cs="Arial"/>
          <w:b/>
          <w:kern w:val="0"/>
          <w:sz w:val="22"/>
          <w:szCs w:val="22"/>
          <w:lang w:eastAsia="en-US" w:bidi="ar-SA"/>
        </w:rPr>
        <w:t>SERÃO TRANSPORTADOS</w:t>
      </w:r>
    </w:p>
    <w:tbl>
      <w:tblPr>
        <w:tblW w:w="8359" w:type="dxa"/>
        <w:tblCellMar>
          <w:left w:w="70" w:type="dxa"/>
          <w:right w:w="70" w:type="dxa"/>
        </w:tblCellMar>
        <w:tblLook w:val="04A0" w:firstRow="1" w:lastRow="0" w:firstColumn="1" w:lastColumn="0" w:noHBand="0" w:noVBand="1"/>
      </w:tblPr>
      <w:tblGrid>
        <w:gridCol w:w="4957"/>
        <w:gridCol w:w="1275"/>
        <w:gridCol w:w="851"/>
        <w:gridCol w:w="1276"/>
      </w:tblGrid>
      <w:tr w:rsidR="001F1959" w:rsidRPr="005878FA" w14:paraId="7CCDFC16" w14:textId="77777777" w:rsidTr="00CF3572">
        <w:trPr>
          <w:trHeight w:val="276"/>
        </w:trPr>
        <w:tc>
          <w:tcPr>
            <w:tcW w:w="8359" w:type="dxa"/>
            <w:gridSpan w:val="4"/>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bottom"/>
            <w:hideMark/>
          </w:tcPr>
          <w:p w14:paraId="7B54BC70" w14:textId="77777777" w:rsidR="00A64D25" w:rsidRPr="005878FA" w:rsidRDefault="00A64D25" w:rsidP="00A64D25">
            <w:pPr>
              <w:jc w:val="center"/>
              <w:rPr>
                <w:rFonts w:eastAsiaTheme="minorHAnsi" w:cs="Arial"/>
                <w:sz w:val="22"/>
                <w:szCs w:val="22"/>
                <w:lang w:eastAsia="en-US"/>
              </w:rPr>
            </w:pPr>
            <w:bookmarkStart w:id="0" w:name="RANGE!B22:G57"/>
            <w:r w:rsidRPr="005878FA">
              <w:rPr>
                <w:rFonts w:eastAsiaTheme="minorHAnsi" w:cs="Arial"/>
                <w:sz w:val="22"/>
                <w:szCs w:val="22"/>
                <w:lang w:eastAsia="en-US"/>
              </w:rPr>
              <w:t>Escritório</w:t>
            </w:r>
            <w:bookmarkEnd w:id="0"/>
          </w:p>
        </w:tc>
      </w:tr>
      <w:tr w:rsidR="001F1959" w:rsidRPr="005878FA" w14:paraId="3D8E4A12"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center"/>
            <w:hideMark/>
          </w:tcPr>
          <w:p w14:paraId="054CCB50" w14:textId="77777777"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Item</w:t>
            </w:r>
          </w:p>
        </w:tc>
        <w:tc>
          <w:tcPr>
            <w:tcW w:w="1275" w:type="dxa"/>
            <w:tcBorders>
              <w:top w:val="nil"/>
              <w:left w:val="nil"/>
              <w:bottom w:val="single" w:sz="4" w:space="0" w:color="000000"/>
              <w:right w:val="single" w:sz="4" w:space="0" w:color="000000"/>
            </w:tcBorders>
            <w:shd w:val="clear" w:color="auto" w:fill="BFBFBF" w:themeFill="background1" w:themeFillShade="BF"/>
            <w:noWrap/>
            <w:vAlign w:val="center"/>
            <w:hideMark/>
          </w:tcPr>
          <w:p w14:paraId="6E205E27" w14:textId="3C885720" w:rsidR="00A64D25" w:rsidRPr="005878FA" w:rsidRDefault="00A64D25" w:rsidP="00CF3572">
            <w:pPr>
              <w:jc w:val="center"/>
              <w:rPr>
                <w:rFonts w:eastAsiaTheme="minorHAnsi" w:cs="Arial"/>
                <w:sz w:val="22"/>
                <w:szCs w:val="22"/>
                <w:lang w:eastAsia="en-US"/>
              </w:rPr>
            </w:pPr>
            <w:r w:rsidRPr="005878FA">
              <w:rPr>
                <w:rFonts w:eastAsiaTheme="minorHAnsi" w:cs="Arial"/>
                <w:sz w:val="22"/>
                <w:szCs w:val="22"/>
                <w:lang w:eastAsia="en-US"/>
              </w:rPr>
              <w:t>Valor Unitá</w:t>
            </w:r>
            <w:r w:rsidR="00CF3572" w:rsidRPr="005878FA">
              <w:rPr>
                <w:rFonts w:eastAsiaTheme="minorHAnsi" w:cs="Arial"/>
                <w:sz w:val="22"/>
                <w:szCs w:val="22"/>
                <w:lang w:eastAsia="en-US"/>
              </w:rPr>
              <w:t>ri</w:t>
            </w:r>
            <w:r w:rsidRPr="005878FA">
              <w:rPr>
                <w:rFonts w:eastAsiaTheme="minorHAnsi" w:cs="Arial"/>
                <w:sz w:val="22"/>
                <w:szCs w:val="22"/>
                <w:lang w:eastAsia="en-US"/>
              </w:rPr>
              <w:t>o</w:t>
            </w:r>
            <w:r w:rsidR="00CF3572" w:rsidRPr="005878FA">
              <w:rPr>
                <w:rFonts w:eastAsiaTheme="minorHAnsi" w:cs="Arial"/>
                <w:sz w:val="22"/>
                <w:szCs w:val="22"/>
                <w:lang w:eastAsia="en-US"/>
              </w:rPr>
              <w:t xml:space="preserve"> (R$)</w:t>
            </w:r>
          </w:p>
        </w:tc>
        <w:tc>
          <w:tcPr>
            <w:tcW w:w="851" w:type="dxa"/>
            <w:tcBorders>
              <w:top w:val="nil"/>
              <w:left w:val="nil"/>
              <w:bottom w:val="nil"/>
              <w:right w:val="single" w:sz="4" w:space="0" w:color="000000"/>
            </w:tcBorders>
            <w:shd w:val="clear" w:color="auto" w:fill="BFBFBF" w:themeFill="background1" w:themeFillShade="BF"/>
            <w:noWrap/>
            <w:vAlign w:val="center"/>
            <w:hideMark/>
          </w:tcPr>
          <w:p w14:paraId="6AC8F0CE" w14:textId="77777777"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Quant.</w:t>
            </w:r>
          </w:p>
        </w:tc>
        <w:tc>
          <w:tcPr>
            <w:tcW w:w="1276" w:type="dxa"/>
            <w:tcBorders>
              <w:top w:val="nil"/>
              <w:left w:val="nil"/>
              <w:bottom w:val="single" w:sz="4" w:space="0" w:color="000000"/>
              <w:right w:val="single" w:sz="4" w:space="0" w:color="auto"/>
            </w:tcBorders>
            <w:shd w:val="clear" w:color="auto" w:fill="BFBFBF" w:themeFill="background1" w:themeFillShade="BF"/>
            <w:noWrap/>
            <w:vAlign w:val="center"/>
            <w:hideMark/>
          </w:tcPr>
          <w:p w14:paraId="39CB0BBE" w14:textId="048AD1B4"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Valor Total</w:t>
            </w:r>
            <w:r w:rsidR="00CF3572" w:rsidRPr="005878FA">
              <w:rPr>
                <w:rFonts w:eastAsiaTheme="minorHAnsi" w:cs="Arial"/>
                <w:sz w:val="22"/>
                <w:szCs w:val="22"/>
                <w:lang w:eastAsia="en-US"/>
              </w:rPr>
              <w:t xml:space="preserve"> (R$)</w:t>
            </w:r>
          </w:p>
        </w:tc>
      </w:tr>
      <w:tr w:rsidR="001F1959" w:rsidRPr="005878FA" w14:paraId="35E6DC55"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hideMark/>
          </w:tcPr>
          <w:p w14:paraId="16BC6A69" w14:textId="0AF1C0A9" w:rsidR="00A64D25" w:rsidRPr="005878FA" w:rsidRDefault="001F1959" w:rsidP="001F1959">
            <w:pPr>
              <w:rPr>
                <w:rFonts w:eastAsiaTheme="minorHAnsi" w:cs="Arial"/>
                <w:sz w:val="22"/>
                <w:szCs w:val="22"/>
                <w:lang w:eastAsia="en-US"/>
              </w:rPr>
            </w:pPr>
            <w:r w:rsidRPr="005878FA">
              <w:rPr>
                <w:rFonts w:eastAsiaTheme="minorHAnsi" w:cs="Arial"/>
                <w:sz w:val="22"/>
                <w:szCs w:val="22"/>
                <w:lang w:eastAsia="en-US"/>
              </w:rPr>
              <w:t>APARELHO TELEFONICO ANALOGICO, VIVA VOZ, ALCATEL</w:t>
            </w:r>
          </w:p>
        </w:tc>
        <w:tc>
          <w:tcPr>
            <w:tcW w:w="1275" w:type="dxa"/>
            <w:tcBorders>
              <w:top w:val="nil"/>
              <w:left w:val="nil"/>
              <w:bottom w:val="single" w:sz="4" w:space="0" w:color="000000"/>
              <w:right w:val="single" w:sz="4" w:space="0" w:color="000000"/>
            </w:tcBorders>
            <w:shd w:val="clear" w:color="FFFFFF" w:fill="FFFFFF"/>
            <w:noWrap/>
            <w:vAlign w:val="bottom"/>
            <w:hideMark/>
          </w:tcPr>
          <w:p w14:paraId="554AF7C3" w14:textId="6ED27760"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61,83</w:t>
            </w:r>
          </w:p>
        </w:tc>
        <w:tc>
          <w:tcPr>
            <w:tcW w:w="851" w:type="dxa"/>
            <w:tcBorders>
              <w:top w:val="single" w:sz="4" w:space="0" w:color="000000"/>
              <w:left w:val="nil"/>
              <w:bottom w:val="single" w:sz="4" w:space="0" w:color="000000"/>
              <w:right w:val="single" w:sz="4" w:space="0" w:color="000000"/>
            </w:tcBorders>
            <w:shd w:val="clear" w:color="FFFFFF" w:fill="FFFFFF"/>
            <w:noWrap/>
            <w:vAlign w:val="bottom"/>
            <w:hideMark/>
          </w:tcPr>
          <w:p w14:paraId="380FE7D4" w14:textId="307C31B6"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hideMark/>
          </w:tcPr>
          <w:p w14:paraId="553D90BF" w14:textId="199EE3E4"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61,83</w:t>
            </w:r>
          </w:p>
        </w:tc>
      </w:tr>
      <w:tr w:rsidR="001F1959" w:rsidRPr="005878FA" w14:paraId="5D137CD7"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749F86C3" w14:textId="6804BCA3" w:rsidR="00A64D25" w:rsidRPr="005878FA" w:rsidRDefault="001F1959" w:rsidP="001F1959">
            <w:pPr>
              <w:rPr>
                <w:rFonts w:eastAsiaTheme="minorHAnsi" w:cs="Arial"/>
                <w:sz w:val="22"/>
                <w:szCs w:val="22"/>
                <w:lang w:eastAsia="en-US"/>
              </w:rPr>
            </w:pPr>
            <w:r w:rsidRPr="005878FA">
              <w:rPr>
                <w:rFonts w:eastAsiaTheme="minorHAnsi" w:cs="Arial"/>
                <w:sz w:val="22"/>
                <w:szCs w:val="22"/>
                <w:lang w:eastAsia="en-US"/>
              </w:rPr>
              <w:t>APARELHO TELEFONICO ANALOGICO, 5 TECLAS AUXILIARES</w:t>
            </w:r>
          </w:p>
        </w:tc>
        <w:tc>
          <w:tcPr>
            <w:tcW w:w="1275" w:type="dxa"/>
            <w:tcBorders>
              <w:top w:val="nil"/>
              <w:left w:val="nil"/>
              <w:bottom w:val="single" w:sz="4" w:space="0" w:color="000000"/>
              <w:right w:val="single" w:sz="4" w:space="0" w:color="000000"/>
            </w:tcBorders>
            <w:shd w:val="clear" w:color="FFFFFF" w:fill="FFFFFF"/>
            <w:noWrap/>
            <w:vAlign w:val="bottom"/>
          </w:tcPr>
          <w:p w14:paraId="2701D789" w14:textId="7B9C57E7"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6,00</w:t>
            </w:r>
          </w:p>
        </w:tc>
        <w:tc>
          <w:tcPr>
            <w:tcW w:w="851" w:type="dxa"/>
            <w:tcBorders>
              <w:top w:val="nil"/>
              <w:left w:val="nil"/>
              <w:bottom w:val="single" w:sz="4" w:space="0" w:color="000000"/>
              <w:right w:val="single" w:sz="4" w:space="0" w:color="000000"/>
            </w:tcBorders>
            <w:shd w:val="clear" w:color="FFFFFF" w:fill="FFFFFF"/>
            <w:noWrap/>
            <w:vAlign w:val="bottom"/>
            <w:hideMark/>
          </w:tcPr>
          <w:p w14:paraId="0CB65D71" w14:textId="182E6653"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2</w:t>
            </w:r>
          </w:p>
        </w:tc>
        <w:tc>
          <w:tcPr>
            <w:tcW w:w="1276" w:type="dxa"/>
            <w:tcBorders>
              <w:top w:val="nil"/>
              <w:left w:val="nil"/>
              <w:bottom w:val="single" w:sz="4" w:space="0" w:color="000000"/>
              <w:right w:val="single" w:sz="4" w:space="0" w:color="auto"/>
            </w:tcBorders>
            <w:shd w:val="clear" w:color="FFFFFF" w:fill="FFFFFF"/>
            <w:noWrap/>
            <w:vAlign w:val="bottom"/>
          </w:tcPr>
          <w:p w14:paraId="4B2B7425" w14:textId="63412FA2"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12,00</w:t>
            </w:r>
          </w:p>
        </w:tc>
      </w:tr>
      <w:tr w:rsidR="001F1959" w:rsidRPr="005878FA" w14:paraId="212215E0"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22450BB6" w14:textId="6C659208" w:rsidR="001F1959" w:rsidRPr="005878FA" w:rsidRDefault="001F1959" w:rsidP="001F1959">
            <w:pPr>
              <w:rPr>
                <w:rFonts w:eastAsiaTheme="minorHAnsi" w:cs="Arial"/>
                <w:sz w:val="22"/>
                <w:szCs w:val="22"/>
                <w:lang w:eastAsia="en-US"/>
              </w:rPr>
            </w:pPr>
            <w:r w:rsidRPr="005878FA">
              <w:rPr>
                <w:rFonts w:eastAsiaTheme="minorHAnsi" w:cs="Arial"/>
                <w:sz w:val="22"/>
                <w:szCs w:val="22"/>
                <w:lang w:eastAsia="en-US"/>
              </w:rPr>
              <w:t>APARELHO TELEFONICO ANALOGICO NEC 2000</w:t>
            </w:r>
          </w:p>
        </w:tc>
        <w:tc>
          <w:tcPr>
            <w:tcW w:w="1275" w:type="dxa"/>
            <w:tcBorders>
              <w:top w:val="nil"/>
              <w:left w:val="nil"/>
              <w:bottom w:val="single" w:sz="4" w:space="0" w:color="000000"/>
              <w:right w:val="single" w:sz="4" w:space="0" w:color="000000"/>
            </w:tcBorders>
            <w:shd w:val="clear" w:color="FFFFFF" w:fill="FFFFFF"/>
            <w:noWrap/>
            <w:vAlign w:val="bottom"/>
          </w:tcPr>
          <w:p w14:paraId="4DDF1BCF" w14:textId="2BF3FE13" w:rsidR="001F1959"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9,99</w:t>
            </w:r>
          </w:p>
        </w:tc>
        <w:tc>
          <w:tcPr>
            <w:tcW w:w="851" w:type="dxa"/>
            <w:tcBorders>
              <w:top w:val="nil"/>
              <w:left w:val="nil"/>
              <w:bottom w:val="single" w:sz="4" w:space="0" w:color="000000"/>
              <w:right w:val="single" w:sz="4" w:space="0" w:color="000000"/>
            </w:tcBorders>
            <w:shd w:val="clear" w:color="FFFFFF" w:fill="FFFFFF"/>
            <w:noWrap/>
            <w:vAlign w:val="bottom"/>
          </w:tcPr>
          <w:p w14:paraId="033AB41D" w14:textId="4A66D9B9" w:rsidR="001F1959"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7E1C5CD3" w14:textId="5B1D890D" w:rsidR="001F1959"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9,99</w:t>
            </w:r>
          </w:p>
        </w:tc>
      </w:tr>
      <w:tr w:rsidR="00236835" w:rsidRPr="005878FA" w14:paraId="0FDD0796"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65F13B3" w14:textId="7C210008" w:rsidR="00236835" w:rsidRPr="005878FA" w:rsidRDefault="00236835" w:rsidP="00883A1F">
            <w:pPr>
              <w:rPr>
                <w:rFonts w:eastAsiaTheme="minorHAnsi" w:cs="Arial"/>
                <w:sz w:val="22"/>
                <w:szCs w:val="22"/>
                <w:lang w:eastAsia="en-US"/>
              </w:rPr>
            </w:pPr>
            <w:r w:rsidRPr="005878FA">
              <w:rPr>
                <w:rFonts w:eastAsiaTheme="minorHAnsi" w:cs="Arial"/>
                <w:sz w:val="22"/>
                <w:szCs w:val="22"/>
                <w:lang w:eastAsia="en-US"/>
              </w:rPr>
              <w:t>APARELHO TELEFONICO ANALOGICO COM VISOR</w:t>
            </w:r>
          </w:p>
        </w:tc>
        <w:tc>
          <w:tcPr>
            <w:tcW w:w="1275" w:type="dxa"/>
            <w:tcBorders>
              <w:top w:val="nil"/>
              <w:left w:val="nil"/>
              <w:bottom w:val="single" w:sz="4" w:space="0" w:color="000000"/>
              <w:right w:val="single" w:sz="4" w:space="0" w:color="000000"/>
            </w:tcBorders>
            <w:shd w:val="clear" w:color="FFFFFF" w:fill="FFFFFF"/>
            <w:noWrap/>
            <w:vAlign w:val="bottom"/>
          </w:tcPr>
          <w:p w14:paraId="08837F6A" w14:textId="709070A1" w:rsidR="0023683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10,35</w:t>
            </w:r>
          </w:p>
        </w:tc>
        <w:tc>
          <w:tcPr>
            <w:tcW w:w="851" w:type="dxa"/>
            <w:tcBorders>
              <w:top w:val="nil"/>
              <w:left w:val="nil"/>
              <w:bottom w:val="single" w:sz="4" w:space="0" w:color="000000"/>
              <w:right w:val="single" w:sz="4" w:space="0" w:color="000000"/>
            </w:tcBorders>
            <w:shd w:val="clear" w:color="FFFFFF" w:fill="FFFFFF"/>
            <w:noWrap/>
            <w:vAlign w:val="bottom"/>
          </w:tcPr>
          <w:p w14:paraId="37BBC0A1" w14:textId="703DD5A2" w:rsidR="0023683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8D9A007" w14:textId="29708C44" w:rsidR="0023683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10,35</w:t>
            </w:r>
          </w:p>
        </w:tc>
      </w:tr>
      <w:tr w:rsidR="00A66034" w:rsidRPr="005878FA" w14:paraId="473221E9"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229AA7C9" w14:textId="33A000E5" w:rsidR="00A66034" w:rsidRPr="005878FA" w:rsidRDefault="00A66034" w:rsidP="001F1959">
            <w:pPr>
              <w:rPr>
                <w:rFonts w:eastAsiaTheme="minorHAnsi" w:cs="Arial"/>
                <w:sz w:val="22"/>
                <w:szCs w:val="22"/>
                <w:lang w:eastAsia="en-US"/>
              </w:rPr>
            </w:pPr>
            <w:r w:rsidRPr="005878FA">
              <w:rPr>
                <w:rFonts w:eastAsiaTheme="minorHAnsi" w:cs="Arial"/>
                <w:sz w:val="22"/>
                <w:szCs w:val="22"/>
                <w:lang w:eastAsia="en-US"/>
              </w:rPr>
              <w:t>APARELHO TELEFONICO DIGITAL</w:t>
            </w:r>
          </w:p>
        </w:tc>
        <w:tc>
          <w:tcPr>
            <w:tcW w:w="1275" w:type="dxa"/>
            <w:tcBorders>
              <w:top w:val="nil"/>
              <w:left w:val="nil"/>
              <w:bottom w:val="single" w:sz="4" w:space="0" w:color="000000"/>
              <w:right w:val="single" w:sz="4" w:space="0" w:color="000000"/>
            </w:tcBorders>
            <w:shd w:val="clear" w:color="FFFFFF" w:fill="FFFFFF"/>
            <w:noWrap/>
            <w:vAlign w:val="bottom"/>
          </w:tcPr>
          <w:p w14:paraId="222382D2" w14:textId="79697E1D"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51,37</w:t>
            </w:r>
          </w:p>
        </w:tc>
        <w:tc>
          <w:tcPr>
            <w:tcW w:w="851" w:type="dxa"/>
            <w:tcBorders>
              <w:top w:val="nil"/>
              <w:left w:val="nil"/>
              <w:bottom w:val="single" w:sz="4" w:space="0" w:color="000000"/>
              <w:right w:val="single" w:sz="4" w:space="0" w:color="000000"/>
            </w:tcBorders>
            <w:shd w:val="clear" w:color="FFFFFF" w:fill="FFFFFF"/>
            <w:noWrap/>
            <w:vAlign w:val="bottom"/>
          </w:tcPr>
          <w:p w14:paraId="475E70A1" w14:textId="5F1823AE"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7</w:t>
            </w:r>
          </w:p>
        </w:tc>
        <w:tc>
          <w:tcPr>
            <w:tcW w:w="1276" w:type="dxa"/>
            <w:tcBorders>
              <w:top w:val="nil"/>
              <w:left w:val="nil"/>
              <w:bottom w:val="single" w:sz="4" w:space="0" w:color="000000"/>
              <w:right w:val="single" w:sz="4" w:space="0" w:color="auto"/>
            </w:tcBorders>
            <w:shd w:val="clear" w:color="FFFFFF" w:fill="FFFFFF"/>
            <w:noWrap/>
            <w:vAlign w:val="bottom"/>
          </w:tcPr>
          <w:p w14:paraId="0D13AF20" w14:textId="4C306BB6" w:rsidR="00A66034"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359,59</w:t>
            </w:r>
          </w:p>
        </w:tc>
      </w:tr>
      <w:tr w:rsidR="001F1959" w:rsidRPr="005878FA" w14:paraId="05E38A32"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4FA9364C" w14:textId="22D79065" w:rsidR="00A64D25" w:rsidRPr="005878FA" w:rsidRDefault="001F1959" w:rsidP="001F1959">
            <w:pPr>
              <w:rPr>
                <w:rFonts w:eastAsiaTheme="minorHAnsi" w:cs="Arial"/>
                <w:sz w:val="22"/>
                <w:szCs w:val="22"/>
                <w:lang w:eastAsia="en-US"/>
              </w:rPr>
            </w:pPr>
            <w:r w:rsidRPr="005878FA">
              <w:rPr>
                <w:rFonts w:eastAsiaTheme="minorHAnsi" w:cs="Arial"/>
                <w:sz w:val="22"/>
                <w:szCs w:val="22"/>
                <w:lang w:eastAsia="en-US"/>
              </w:rPr>
              <w:t>SWITCH 24 PORTAS ETHERNET 10/100/1000</w:t>
            </w:r>
          </w:p>
        </w:tc>
        <w:tc>
          <w:tcPr>
            <w:tcW w:w="1275" w:type="dxa"/>
            <w:tcBorders>
              <w:top w:val="nil"/>
              <w:left w:val="nil"/>
              <w:bottom w:val="single" w:sz="4" w:space="0" w:color="000000"/>
              <w:right w:val="single" w:sz="4" w:space="0" w:color="000000"/>
            </w:tcBorders>
            <w:shd w:val="clear" w:color="FFFFFF" w:fill="FFFFFF"/>
            <w:noWrap/>
            <w:vAlign w:val="bottom"/>
          </w:tcPr>
          <w:p w14:paraId="2994D48F" w14:textId="2722C9DD"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510,00</w:t>
            </w:r>
          </w:p>
        </w:tc>
        <w:tc>
          <w:tcPr>
            <w:tcW w:w="851" w:type="dxa"/>
            <w:tcBorders>
              <w:top w:val="nil"/>
              <w:left w:val="nil"/>
              <w:bottom w:val="single" w:sz="4" w:space="0" w:color="000000"/>
              <w:right w:val="single" w:sz="4" w:space="0" w:color="000000"/>
            </w:tcBorders>
            <w:shd w:val="clear" w:color="FFFFFF" w:fill="FFFFFF"/>
            <w:noWrap/>
            <w:vAlign w:val="bottom"/>
            <w:hideMark/>
          </w:tcPr>
          <w:p w14:paraId="4DAB2859" w14:textId="77777777"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A37B33A" w14:textId="1E3653D8"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510,00</w:t>
            </w:r>
          </w:p>
        </w:tc>
      </w:tr>
      <w:tr w:rsidR="00A66034" w:rsidRPr="005878FA" w14:paraId="4D5D3265"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53728D6" w14:textId="1EC5119C" w:rsidR="00A66034" w:rsidRPr="005878FA" w:rsidRDefault="00A66034" w:rsidP="00A66034">
            <w:pPr>
              <w:rPr>
                <w:rFonts w:eastAsiaTheme="minorHAnsi" w:cs="Arial"/>
                <w:sz w:val="22"/>
                <w:szCs w:val="22"/>
                <w:lang w:eastAsia="en-US"/>
              </w:rPr>
            </w:pPr>
            <w:r w:rsidRPr="005878FA">
              <w:rPr>
                <w:rFonts w:eastAsiaTheme="minorHAnsi" w:cs="Arial"/>
                <w:sz w:val="22"/>
                <w:szCs w:val="22"/>
                <w:lang w:eastAsia="en-US"/>
              </w:rPr>
              <w:t>SWITCH DE ACESSO 24 PORTAS</w:t>
            </w:r>
          </w:p>
        </w:tc>
        <w:tc>
          <w:tcPr>
            <w:tcW w:w="1275" w:type="dxa"/>
            <w:tcBorders>
              <w:top w:val="nil"/>
              <w:left w:val="nil"/>
              <w:bottom w:val="single" w:sz="4" w:space="0" w:color="000000"/>
              <w:right w:val="single" w:sz="4" w:space="0" w:color="000000"/>
            </w:tcBorders>
            <w:shd w:val="clear" w:color="FFFFFF" w:fill="FFFFFF"/>
            <w:noWrap/>
            <w:vAlign w:val="bottom"/>
          </w:tcPr>
          <w:p w14:paraId="30265AC8" w14:textId="75A9D511"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8.265,94</w:t>
            </w:r>
          </w:p>
        </w:tc>
        <w:tc>
          <w:tcPr>
            <w:tcW w:w="851" w:type="dxa"/>
            <w:tcBorders>
              <w:top w:val="nil"/>
              <w:left w:val="nil"/>
              <w:bottom w:val="single" w:sz="4" w:space="0" w:color="000000"/>
              <w:right w:val="single" w:sz="4" w:space="0" w:color="000000"/>
            </w:tcBorders>
            <w:shd w:val="clear" w:color="FFFFFF" w:fill="FFFFFF"/>
            <w:noWrap/>
            <w:vAlign w:val="bottom"/>
          </w:tcPr>
          <w:p w14:paraId="4A75779B" w14:textId="0F5FEC68"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177A640E" w14:textId="2E752503"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8.265,94</w:t>
            </w:r>
          </w:p>
        </w:tc>
      </w:tr>
      <w:tr w:rsidR="001F1959" w:rsidRPr="005878FA" w14:paraId="246A3A5A"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53956A4" w14:textId="5F7FC1D5" w:rsidR="00A64D25" w:rsidRPr="005878FA" w:rsidRDefault="001F1959" w:rsidP="00A64D25">
            <w:pPr>
              <w:rPr>
                <w:rFonts w:eastAsiaTheme="minorHAnsi" w:cs="Arial"/>
                <w:sz w:val="22"/>
                <w:szCs w:val="22"/>
                <w:lang w:eastAsia="en-US"/>
              </w:rPr>
            </w:pPr>
            <w:r w:rsidRPr="005878FA">
              <w:rPr>
                <w:rFonts w:eastAsiaTheme="minorHAnsi" w:cs="Arial"/>
                <w:sz w:val="22"/>
                <w:szCs w:val="22"/>
                <w:lang w:eastAsia="en-US"/>
              </w:rPr>
              <w:t>POLTRONA GIRATORIA EM TECIDO, ESPALDAR MEDIO</w:t>
            </w:r>
          </w:p>
        </w:tc>
        <w:tc>
          <w:tcPr>
            <w:tcW w:w="1275" w:type="dxa"/>
            <w:tcBorders>
              <w:top w:val="nil"/>
              <w:left w:val="nil"/>
              <w:bottom w:val="single" w:sz="4" w:space="0" w:color="000000"/>
              <w:right w:val="single" w:sz="4" w:space="0" w:color="000000"/>
            </w:tcBorders>
            <w:shd w:val="clear" w:color="FFFFFF" w:fill="FFFFFF"/>
            <w:noWrap/>
            <w:vAlign w:val="bottom"/>
          </w:tcPr>
          <w:p w14:paraId="03BD8715" w14:textId="0BFBD8F2" w:rsidR="00A64D25" w:rsidRPr="005878FA" w:rsidRDefault="001F1959" w:rsidP="00A64D25">
            <w:pPr>
              <w:jc w:val="center"/>
              <w:rPr>
                <w:rFonts w:eastAsiaTheme="minorHAnsi" w:cs="Arial"/>
                <w:sz w:val="22"/>
                <w:szCs w:val="22"/>
                <w:lang w:eastAsia="en-US"/>
              </w:rPr>
            </w:pPr>
            <w:r w:rsidRPr="005878FA">
              <w:rPr>
                <w:rFonts w:eastAsiaTheme="minorHAnsi" w:cs="Arial"/>
                <w:sz w:val="22"/>
                <w:szCs w:val="22"/>
                <w:lang w:eastAsia="en-US"/>
              </w:rPr>
              <w:t>55,00</w:t>
            </w:r>
          </w:p>
        </w:tc>
        <w:tc>
          <w:tcPr>
            <w:tcW w:w="851" w:type="dxa"/>
            <w:tcBorders>
              <w:top w:val="nil"/>
              <w:left w:val="nil"/>
              <w:bottom w:val="single" w:sz="4" w:space="0" w:color="000000"/>
              <w:right w:val="single" w:sz="4" w:space="0" w:color="000000"/>
            </w:tcBorders>
            <w:shd w:val="clear" w:color="FFFFFF" w:fill="FFFFFF"/>
            <w:noWrap/>
            <w:vAlign w:val="bottom"/>
            <w:hideMark/>
          </w:tcPr>
          <w:p w14:paraId="18F3D845" w14:textId="17C855C9" w:rsidR="00A64D25" w:rsidRPr="005878FA" w:rsidRDefault="003E14C2" w:rsidP="00A64D25">
            <w:pPr>
              <w:jc w:val="center"/>
              <w:rPr>
                <w:rFonts w:eastAsiaTheme="minorHAnsi" w:cs="Arial"/>
                <w:sz w:val="22"/>
                <w:szCs w:val="22"/>
                <w:lang w:eastAsia="en-US"/>
              </w:rPr>
            </w:pPr>
            <w:r w:rsidRPr="005878FA">
              <w:rPr>
                <w:rFonts w:eastAsiaTheme="minorHAnsi" w:cs="Arial"/>
                <w:sz w:val="22"/>
                <w:szCs w:val="22"/>
                <w:lang w:eastAsia="en-US"/>
              </w:rPr>
              <w:t>10</w:t>
            </w:r>
          </w:p>
        </w:tc>
        <w:tc>
          <w:tcPr>
            <w:tcW w:w="1276" w:type="dxa"/>
            <w:tcBorders>
              <w:top w:val="nil"/>
              <w:left w:val="nil"/>
              <w:bottom w:val="single" w:sz="4" w:space="0" w:color="000000"/>
              <w:right w:val="single" w:sz="4" w:space="0" w:color="auto"/>
            </w:tcBorders>
            <w:shd w:val="clear" w:color="FFFFFF" w:fill="FFFFFF"/>
            <w:noWrap/>
            <w:vAlign w:val="bottom"/>
          </w:tcPr>
          <w:p w14:paraId="5DBC85EA" w14:textId="0EE2C7E1" w:rsidR="00A64D25" w:rsidRPr="005878FA" w:rsidRDefault="003E14C2" w:rsidP="00A64D25">
            <w:pPr>
              <w:jc w:val="center"/>
              <w:rPr>
                <w:rFonts w:eastAsiaTheme="minorHAnsi" w:cs="Arial"/>
                <w:sz w:val="22"/>
                <w:szCs w:val="22"/>
                <w:lang w:eastAsia="en-US"/>
              </w:rPr>
            </w:pPr>
            <w:r w:rsidRPr="005878FA">
              <w:rPr>
                <w:rFonts w:eastAsiaTheme="minorHAnsi" w:cs="Arial"/>
                <w:sz w:val="22"/>
                <w:szCs w:val="22"/>
                <w:lang w:eastAsia="en-US"/>
              </w:rPr>
              <w:t>5</w:t>
            </w:r>
            <w:r w:rsidR="001F1959" w:rsidRPr="005878FA">
              <w:rPr>
                <w:rFonts w:eastAsiaTheme="minorHAnsi" w:cs="Arial"/>
                <w:sz w:val="22"/>
                <w:szCs w:val="22"/>
                <w:lang w:eastAsia="en-US"/>
              </w:rPr>
              <w:t>5</w:t>
            </w:r>
            <w:r w:rsidRPr="005878FA">
              <w:rPr>
                <w:rFonts w:eastAsiaTheme="minorHAnsi" w:cs="Arial"/>
                <w:sz w:val="22"/>
                <w:szCs w:val="22"/>
                <w:lang w:eastAsia="en-US"/>
              </w:rPr>
              <w:t>0</w:t>
            </w:r>
            <w:r w:rsidR="001F1959" w:rsidRPr="005878FA">
              <w:rPr>
                <w:rFonts w:eastAsiaTheme="minorHAnsi" w:cs="Arial"/>
                <w:sz w:val="22"/>
                <w:szCs w:val="22"/>
                <w:lang w:eastAsia="en-US"/>
              </w:rPr>
              <w:t>,00</w:t>
            </w:r>
          </w:p>
        </w:tc>
      </w:tr>
      <w:tr w:rsidR="001F1959" w:rsidRPr="005878FA" w14:paraId="36297EC5"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A4D4818" w14:textId="0E05BC3F" w:rsidR="00A64D25" w:rsidRPr="005878FA" w:rsidRDefault="003E14C2" w:rsidP="00A64D25">
            <w:pPr>
              <w:rPr>
                <w:rFonts w:eastAsiaTheme="minorHAnsi" w:cs="Arial"/>
                <w:sz w:val="22"/>
                <w:szCs w:val="22"/>
                <w:lang w:eastAsia="en-US"/>
              </w:rPr>
            </w:pPr>
            <w:r w:rsidRPr="005878FA">
              <w:rPr>
                <w:rFonts w:eastAsiaTheme="minorHAnsi" w:cs="Arial"/>
                <w:sz w:val="22"/>
                <w:szCs w:val="22"/>
                <w:lang w:eastAsia="en-US"/>
              </w:rPr>
              <w:t>, POLTRONA GIRATORIA ESPALDAR BAIXO</w:t>
            </w:r>
          </w:p>
        </w:tc>
        <w:tc>
          <w:tcPr>
            <w:tcW w:w="1275" w:type="dxa"/>
            <w:tcBorders>
              <w:top w:val="nil"/>
              <w:left w:val="nil"/>
              <w:bottom w:val="single" w:sz="4" w:space="0" w:color="000000"/>
              <w:right w:val="single" w:sz="4" w:space="0" w:color="000000"/>
            </w:tcBorders>
            <w:shd w:val="clear" w:color="FFFFFF" w:fill="FFFFFF"/>
            <w:noWrap/>
            <w:vAlign w:val="bottom"/>
          </w:tcPr>
          <w:p w14:paraId="21D37971" w14:textId="68710734" w:rsidR="00A64D25" w:rsidRPr="005878FA" w:rsidRDefault="003E14C2" w:rsidP="00A64D25">
            <w:pPr>
              <w:jc w:val="center"/>
              <w:rPr>
                <w:rFonts w:eastAsiaTheme="minorHAnsi" w:cs="Arial"/>
                <w:sz w:val="22"/>
                <w:szCs w:val="22"/>
                <w:lang w:eastAsia="en-US"/>
              </w:rPr>
            </w:pPr>
            <w:r w:rsidRPr="005878FA">
              <w:rPr>
                <w:rFonts w:eastAsiaTheme="minorHAnsi" w:cs="Arial"/>
                <w:sz w:val="22"/>
                <w:szCs w:val="22"/>
                <w:lang w:eastAsia="en-US"/>
              </w:rPr>
              <w:t>48,00</w:t>
            </w:r>
          </w:p>
        </w:tc>
        <w:tc>
          <w:tcPr>
            <w:tcW w:w="851" w:type="dxa"/>
            <w:tcBorders>
              <w:top w:val="nil"/>
              <w:left w:val="nil"/>
              <w:bottom w:val="single" w:sz="4" w:space="0" w:color="000000"/>
              <w:right w:val="single" w:sz="4" w:space="0" w:color="000000"/>
            </w:tcBorders>
            <w:shd w:val="clear" w:color="FFFFFF" w:fill="FFFFFF"/>
            <w:noWrap/>
            <w:vAlign w:val="bottom"/>
            <w:hideMark/>
          </w:tcPr>
          <w:p w14:paraId="48E6AAC8" w14:textId="26F5EBC5" w:rsidR="00A64D25" w:rsidRPr="005878FA" w:rsidRDefault="003E14C2" w:rsidP="00A64D25">
            <w:pPr>
              <w:jc w:val="center"/>
              <w:rPr>
                <w:rFonts w:eastAsiaTheme="minorHAnsi" w:cs="Arial"/>
                <w:sz w:val="22"/>
                <w:szCs w:val="22"/>
                <w:lang w:eastAsia="en-US"/>
              </w:rPr>
            </w:pPr>
            <w:r w:rsidRPr="005878FA">
              <w:rPr>
                <w:rFonts w:eastAsiaTheme="minorHAnsi" w:cs="Arial"/>
                <w:sz w:val="22"/>
                <w:szCs w:val="22"/>
                <w:lang w:eastAsia="en-US"/>
              </w:rPr>
              <w:t>13</w:t>
            </w:r>
          </w:p>
        </w:tc>
        <w:tc>
          <w:tcPr>
            <w:tcW w:w="1276" w:type="dxa"/>
            <w:tcBorders>
              <w:top w:val="nil"/>
              <w:left w:val="nil"/>
              <w:bottom w:val="single" w:sz="4" w:space="0" w:color="000000"/>
              <w:right w:val="single" w:sz="4" w:space="0" w:color="auto"/>
            </w:tcBorders>
            <w:shd w:val="clear" w:color="FFFFFF" w:fill="FFFFFF"/>
            <w:noWrap/>
            <w:vAlign w:val="bottom"/>
          </w:tcPr>
          <w:p w14:paraId="5432A67A" w14:textId="7E94C77B" w:rsidR="00A64D25" w:rsidRPr="005878FA" w:rsidRDefault="003E14C2" w:rsidP="00A64D25">
            <w:pPr>
              <w:jc w:val="center"/>
              <w:rPr>
                <w:rFonts w:eastAsiaTheme="minorHAnsi" w:cs="Arial"/>
                <w:sz w:val="22"/>
                <w:szCs w:val="22"/>
                <w:lang w:eastAsia="en-US"/>
              </w:rPr>
            </w:pPr>
            <w:r w:rsidRPr="005878FA">
              <w:rPr>
                <w:rFonts w:eastAsiaTheme="minorHAnsi" w:cs="Arial"/>
                <w:sz w:val="22"/>
                <w:szCs w:val="22"/>
                <w:lang w:eastAsia="en-US"/>
              </w:rPr>
              <w:t>624,00</w:t>
            </w:r>
          </w:p>
        </w:tc>
      </w:tr>
      <w:tr w:rsidR="001F1959" w:rsidRPr="005878FA" w14:paraId="3ADCBD97"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70F12D58" w14:textId="703E8B5D" w:rsidR="00A64D25" w:rsidRPr="005878FA" w:rsidRDefault="00950AE9" w:rsidP="00950AE9">
            <w:pPr>
              <w:rPr>
                <w:rFonts w:eastAsiaTheme="minorHAnsi" w:cs="Arial"/>
                <w:sz w:val="22"/>
                <w:szCs w:val="22"/>
                <w:lang w:eastAsia="en-US"/>
              </w:rPr>
            </w:pPr>
            <w:r w:rsidRPr="005878FA">
              <w:rPr>
                <w:rFonts w:eastAsiaTheme="minorHAnsi" w:cs="Arial"/>
                <w:sz w:val="22"/>
                <w:szCs w:val="22"/>
                <w:lang w:eastAsia="en-US"/>
              </w:rPr>
              <w:t xml:space="preserve">ARMARIO ALTO EM MADEIRA, </w:t>
            </w:r>
            <w:r w:rsidR="003E14C2" w:rsidRPr="005878FA">
              <w:rPr>
                <w:rFonts w:eastAsiaTheme="minorHAnsi" w:cs="Arial"/>
                <w:sz w:val="22"/>
                <w:szCs w:val="22"/>
                <w:lang w:eastAsia="en-US"/>
              </w:rPr>
              <w:t>DUAS PORTAS</w:t>
            </w:r>
          </w:p>
        </w:tc>
        <w:tc>
          <w:tcPr>
            <w:tcW w:w="1275" w:type="dxa"/>
            <w:tcBorders>
              <w:top w:val="nil"/>
              <w:left w:val="nil"/>
              <w:bottom w:val="single" w:sz="4" w:space="0" w:color="000000"/>
              <w:right w:val="single" w:sz="4" w:space="0" w:color="000000"/>
            </w:tcBorders>
            <w:shd w:val="clear" w:color="FFFFFF" w:fill="FFFFFF"/>
            <w:noWrap/>
            <w:vAlign w:val="bottom"/>
          </w:tcPr>
          <w:p w14:paraId="6F658ABE" w14:textId="2D7564CD" w:rsidR="00950AE9" w:rsidRPr="005878FA" w:rsidRDefault="00950AE9" w:rsidP="00950AE9">
            <w:pPr>
              <w:jc w:val="center"/>
              <w:rPr>
                <w:rFonts w:eastAsiaTheme="minorHAnsi" w:cs="Arial"/>
                <w:sz w:val="22"/>
                <w:szCs w:val="22"/>
                <w:lang w:eastAsia="en-US"/>
              </w:rPr>
            </w:pPr>
            <w:r w:rsidRPr="005878FA">
              <w:rPr>
                <w:rFonts w:eastAsiaTheme="minorHAnsi" w:cs="Arial"/>
                <w:sz w:val="22"/>
                <w:szCs w:val="22"/>
                <w:lang w:eastAsia="en-US"/>
              </w:rPr>
              <w:t>50,00</w:t>
            </w:r>
          </w:p>
        </w:tc>
        <w:tc>
          <w:tcPr>
            <w:tcW w:w="851" w:type="dxa"/>
            <w:tcBorders>
              <w:top w:val="nil"/>
              <w:left w:val="nil"/>
              <w:bottom w:val="single" w:sz="4" w:space="0" w:color="000000"/>
              <w:right w:val="single" w:sz="4" w:space="0" w:color="000000"/>
            </w:tcBorders>
            <w:shd w:val="clear" w:color="FFFFFF" w:fill="FFFFFF"/>
            <w:noWrap/>
            <w:vAlign w:val="bottom"/>
            <w:hideMark/>
          </w:tcPr>
          <w:p w14:paraId="25888BF1" w14:textId="5EB38D10" w:rsidR="00A64D25" w:rsidRPr="005878FA" w:rsidRDefault="00950AE9" w:rsidP="00A64D25">
            <w:pPr>
              <w:jc w:val="center"/>
              <w:rPr>
                <w:rFonts w:eastAsiaTheme="minorHAnsi" w:cs="Arial"/>
                <w:sz w:val="22"/>
                <w:szCs w:val="22"/>
                <w:lang w:eastAsia="en-US"/>
              </w:rPr>
            </w:pPr>
            <w:r w:rsidRPr="005878FA">
              <w:rPr>
                <w:rFonts w:eastAsiaTheme="minorHAnsi" w:cs="Arial"/>
                <w:sz w:val="22"/>
                <w:szCs w:val="22"/>
                <w:lang w:eastAsia="en-US"/>
              </w:rPr>
              <w:t>7</w:t>
            </w:r>
          </w:p>
        </w:tc>
        <w:tc>
          <w:tcPr>
            <w:tcW w:w="1276" w:type="dxa"/>
            <w:tcBorders>
              <w:top w:val="nil"/>
              <w:left w:val="nil"/>
              <w:bottom w:val="single" w:sz="4" w:space="0" w:color="000000"/>
              <w:right w:val="single" w:sz="4" w:space="0" w:color="auto"/>
            </w:tcBorders>
            <w:shd w:val="clear" w:color="FFFFFF" w:fill="FFFFFF"/>
            <w:noWrap/>
            <w:vAlign w:val="bottom"/>
          </w:tcPr>
          <w:p w14:paraId="026D6C34" w14:textId="4E8C02D4" w:rsidR="00A64D25" w:rsidRPr="005878FA" w:rsidRDefault="00950AE9" w:rsidP="00A64D25">
            <w:pPr>
              <w:jc w:val="center"/>
              <w:rPr>
                <w:rFonts w:eastAsiaTheme="minorHAnsi" w:cs="Arial"/>
                <w:sz w:val="22"/>
                <w:szCs w:val="22"/>
                <w:lang w:eastAsia="en-US"/>
              </w:rPr>
            </w:pPr>
            <w:r w:rsidRPr="005878FA">
              <w:rPr>
                <w:rFonts w:eastAsiaTheme="minorHAnsi" w:cs="Arial"/>
                <w:sz w:val="22"/>
                <w:szCs w:val="22"/>
                <w:lang w:eastAsia="en-US"/>
              </w:rPr>
              <w:t>350,00</w:t>
            </w:r>
          </w:p>
        </w:tc>
      </w:tr>
      <w:tr w:rsidR="001F1959" w:rsidRPr="005878FA" w14:paraId="1C26F142"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41621443" w14:textId="659D00BE" w:rsidR="00A64D25" w:rsidRPr="005878FA" w:rsidRDefault="00950AE9" w:rsidP="00950AE9">
            <w:pPr>
              <w:rPr>
                <w:rFonts w:eastAsiaTheme="minorHAnsi" w:cs="Arial"/>
                <w:sz w:val="22"/>
                <w:szCs w:val="22"/>
                <w:lang w:eastAsia="en-US"/>
              </w:rPr>
            </w:pPr>
            <w:r w:rsidRPr="005878FA">
              <w:rPr>
                <w:rFonts w:eastAsiaTheme="minorHAnsi" w:cs="Arial"/>
                <w:sz w:val="22"/>
                <w:szCs w:val="22"/>
                <w:lang w:eastAsia="en-US"/>
              </w:rPr>
              <w:t>ARMARIO BAIXO EM MADEIRA, DUAS PORTAS</w:t>
            </w:r>
          </w:p>
        </w:tc>
        <w:tc>
          <w:tcPr>
            <w:tcW w:w="1275" w:type="dxa"/>
            <w:tcBorders>
              <w:top w:val="nil"/>
              <w:left w:val="nil"/>
              <w:bottom w:val="single" w:sz="4" w:space="0" w:color="000000"/>
              <w:right w:val="single" w:sz="4" w:space="0" w:color="000000"/>
            </w:tcBorders>
            <w:shd w:val="clear" w:color="FFFFFF" w:fill="FFFFFF"/>
            <w:noWrap/>
            <w:vAlign w:val="bottom"/>
          </w:tcPr>
          <w:p w14:paraId="6AB026FA" w14:textId="35DE520A" w:rsidR="00A64D25" w:rsidRPr="005878FA" w:rsidRDefault="00950AE9" w:rsidP="00A64D25">
            <w:pPr>
              <w:jc w:val="center"/>
              <w:rPr>
                <w:rFonts w:eastAsiaTheme="minorHAnsi" w:cs="Arial"/>
                <w:sz w:val="22"/>
                <w:szCs w:val="22"/>
                <w:lang w:eastAsia="en-US"/>
              </w:rPr>
            </w:pPr>
            <w:r w:rsidRPr="005878FA">
              <w:rPr>
                <w:rFonts w:eastAsiaTheme="minorHAnsi" w:cs="Arial"/>
                <w:sz w:val="22"/>
                <w:szCs w:val="22"/>
                <w:lang w:eastAsia="en-US"/>
              </w:rPr>
              <w:t>27,30</w:t>
            </w:r>
          </w:p>
        </w:tc>
        <w:tc>
          <w:tcPr>
            <w:tcW w:w="851" w:type="dxa"/>
            <w:tcBorders>
              <w:top w:val="nil"/>
              <w:left w:val="nil"/>
              <w:bottom w:val="single" w:sz="4" w:space="0" w:color="000000"/>
              <w:right w:val="single" w:sz="4" w:space="0" w:color="000000"/>
            </w:tcBorders>
            <w:shd w:val="clear" w:color="FFFFFF" w:fill="FFFFFF"/>
            <w:noWrap/>
            <w:vAlign w:val="bottom"/>
            <w:hideMark/>
          </w:tcPr>
          <w:p w14:paraId="02D44075" w14:textId="2BB7F53C" w:rsidR="00A64D25" w:rsidRPr="005878FA" w:rsidRDefault="00950AE9" w:rsidP="00A64D25">
            <w:pPr>
              <w:jc w:val="center"/>
              <w:rPr>
                <w:rFonts w:eastAsiaTheme="minorHAnsi" w:cs="Arial"/>
                <w:sz w:val="22"/>
                <w:szCs w:val="22"/>
                <w:lang w:eastAsia="en-US"/>
              </w:rPr>
            </w:pPr>
            <w:r w:rsidRPr="005878FA">
              <w:rPr>
                <w:rFonts w:eastAsiaTheme="minorHAnsi" w:cs="Arial"/>
                <w:sz w:val="22"/>
                <w:szCs w:val="22"/>
                <w:lang w:eastAsia="en-US"/>
              </w:rPr>
              <w:t>4</w:t>
            </w:r>
          </w:p>
        </w:tc>
        <w:tc>
          <w:tcPr>
            <w:tcW w:w="1276" w:type="dxa"/>
            <w:tcBorders>
              <w:top w:val="nil"/>
              <w:left w:val="nil"/>
              <w:bottom w:val="single" w:sz="4" w:space="0" w:color="000000"/>
              <w:right w:val="single" w:sz="4" w:space="0" w:color="auto"/>
            </w:tcBorders>
            <w:shd w:val="clear" w:color="FFFFFF" w:fill="FFFFFF"/>
            <w:noWrap/>
            <w:vAlign w:val="bottom"/>
          </w:tcPr>
          <w:p w14:paraId="23B970BE" w14:textId="0A361807" w:rsidR="00A64D25" w:rsidRPr="005878FA" w:rsidRDefault="00950AE9" w:rsidP="00A64D25">
            <w:pPr>
              <w:jc w:val="center"/>
              <w:rPr>
                <w:rFonts w:eastAsiaTheme="minorHAnsi" w:cs="Arial"/>
                <w:sz w:val="22"/>
                <w:szCs w:val="22"/>
                <w:lang w:eastAsia="en-US"/>
              </w:rPr>
            </w:pPr>
            <w:r w:rsidRPr="005878FA">
              <w:rPr>
                <w:rFonts w:eastAsiaTheme="minorHAnsi" w:cs="Arial"/>
                <w:sz w:val="22"/>
                <w:szCs w:val="22"/>
                <w:lang w:eastAsia="en-US"/>
              </w:rPr>
              <w:t>109,20</w:t>
            </w:r>
          </w:p>
        </w:tc>
      </w:tr>
      <w:tr w:rsidR="001F1959" w:rsidRPr="005878FA" w14:paraId="1FCCC2DF"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D023F5B" w14:textId="02DAF6A1" w:rsidR="00A64D25" w:rsidRPr="005878FA" w:rsidRDefault="00CF3572" w:rsidP="00CF3572">
            <w:pPr>
              <w:rPr>
                <w:rFonts w:eastAsiaTheme="minorHAnsi" w:cs="Arial"/>
                <w:sz w:val="22"/>
                <w:szCs w:val="22"/>
                <w:lang w:eastAsia="en-US"/>
              </w:rPr>
            </w:pPr>
            <w:r w:rsidRPr="005878FA">
              <w:rPr>
                <w:rFonts w:eastAsiaTheme="minorHAnsi" w:cs="Arial"/>
                <w:sz w:val="22"/>
                <w:szCs w:val="22"/>
                <w:lang w:eastAsia="en-US"/>
              </w:rPr>
              <w:t>MESA DE ESTUDO REDONDA, EM MADEIRA</w:t>
            </w:r>
          </w:p>
        </w:tc>
        <w:tc>
          <w:tcPr>
            <w:tcW w:w="1275" w:type="dxa"/>
            <w:tcBorders>
              <w:top w:val="nil"/>
              <w:left w:val="nil"/>
              <w:bottom w:val="single" w:sz="4" w:space="0" w:color="000000"/>
              <w:right w:val="single" w:sz="4" w:space="0" w:color="000000"/>
            </w:tcBorders>
            <w:shd w:val="clear" w:color="FFFFFF" w:fill="FFFFFF"/>
            <w:noWrap/>
            <w:vAlign w:val="bottom"/>
          </w:tcPr>
          <w:p w14:paraId="7A453962" w14:textId="7439C0CE"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24,00</w:t>
            </w:r>
          </w:p>
        </w:tc>
        <w:tc>
          <w:tcPr>
            <w:tcW w:w="851" w:type="dxa"/>
            <w:tcBorders>
              <w:top w:val="nil"/>
              <w:left w:val="nil"/>
              <w:bottom w:val="single" w:sz="4" w:space="0" w:color="000000"/>
              <w:right w:val="single" w:sz="4" w:space="0" w:color="000000"/>
            </w:tcBorders>
            <w:shd w:val="clear" w:color="FFFFFF" w:fill="FFFFFF"/>
            <w:noWrap/>
            <w:vAlign w:val="bottom"/>
            <w:hideMark/>
          </w:tcPr>
          <w:p w14:paraId="4CB74EB3" w14:textId="1FF6D97B"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2F530AA9" w14:textId="5EB55EA5"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24,00</w:t>
            </w:r>
          </w:p>
        </w:tc>
      </w:tr>
      <w:tr w:rsidR="001F1959" w:rsidRPr="005878FA" w14:paraId="2306C024"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D5CB7D0" w14:textId="6384BDB4" w:rsidR="00A64D25" w:rsidRPr="005878FA" w:rsidRDefault="00CF3572" w:rsidP="00CF3572">
            <w:pPr>
              <w:rPr>
                <w:rFonts w:eastAsiaTheme="minorHAnsi" w:cs="Arial"/>
                <w:sz w:val="22"/>
                <w:szCs w:val="22"/>
                <w:lang w:eastAsia="en-US"/>
              </w:rPr>
            </w:pPr>
            <w:r w:rsidRPr="005878FA">
              <w:rPr>
                <w:rFonts w:eastAsiaTheme="minorHAnsi" w:cs="Arial"/>
                <w:sz w:val="22"/>
                <w:szCs w:val="22"/>
                <w:lang w:eastAsia="en-US"/>
              </w:rPr>
              <w:t>MESA PARA REUNIAO EM MADEIRA</w:t>
            </w:r>
          </w:p>
        </w:tc>
        <w:tc>
          <w:tcPr>
            <w:tcW w:w="1275" w:type="dxa"/>
            <w:tcBorders>
              <w:top w:val="nil"/>
              <w:left w:val="nil"/>
              <w:bottom w:val="single" w:sz="4" w:space="0" w:color="000000"/>
              <w:right w:val="single" w:sz="4" w:space="0" w:color="000000"/>
            </w:tcBorders>
            <w:shd w:val="clear" w:color="FFFFFF" w:fill="FFFFFF"/>
            <w:noWrap/>
            <w:vAlign w:val="bottom"/>
          </w:tcPr>
          <w:p w14:paraId="39044F06" w14:textId="32966061"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69,80</w:t>
            </w:r>
          </w:p>
        </w:tc>
        <w:tc>
          <w:tcPr>
            <w:tcW w:w="851" w:type="dxa"/>
            <w:tcBorders>
              <w:top w:val="nil"/>
              <w:left w:val="nil"/>
              <w:bottom w:val="single" w:sz="4" w:space="0" w:color="000000"/>
              <w:right w:val="single" w:sz="4" w:space="0" w:color="000000"/>
            </w:tcBorders>
            <w:shd w:val="clear" w:color="FFFFFF" w:fill="FFFFFF"/>
            <w:noWrap/>
            <w:vAlign w:val="bottom"/>
            <w:hideMark/>
          </w:tcPr>
          <w:p w14:paraId="75587650" w14:textId="72997B60"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5DBFD2CC" w14:textId="710F15E0"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69,80</w:t>
            </w:r>
          </w:p>
        </w:tc>
      </w:tr>
      <w:tr w:rsidR="001F1959" w:rsidRPr="005878FA" w14:paraId="0CAE6640"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505EB5C" w14:textId="6BCC2AA1" w:rsidR="00A64D25" w:rsidRPr="005878FA" w:rsidRDefault="00CF3572" w:rsidP="00A64D25">
            <w:pPr>
              <w:rPr>
                <w:rFonts w:eastAsiaTheme="minorHAnsi" w:cs="Arial"/>
                <w:sz w:val="22"/>
                <w:szCs w:val="22"/>
                <w:lang w:eastAsia="en-US"/>
              </w:rPr>
            </w:pPr>
            <w:r w:rsidRPr="005878FA">
              <w:rPr>
                <w:rFonts w:eastAsiaTheme="minorHAnsi" w:cs="Arial"/>
                <w:sz w:val="22"/>
                <w:szCs w:val="22"/>
                <w:lang w:eastAsia="en-US"/>
              </w:rPr>
              <w:t>ESTACAO DE TRABALHO PARA UM LUGAR EM L</w:t>
            </w:r>
          </w:p>
        </w:tc>
        <w:tc>
          <w:tcPr>
            <w:tcW w:w="1275" w:type="dxa"/>
            <w:tcBorders>
              <w:top w:val="nil"/>
              <w:left w:val="nil"/>
              <w:bottom w:val="single" w:sz="4" w:space="0" w:color="000000"/>
              <w:right w:val="single" w:sz="4" w:space="0" w:color="000000"/>
            </w:tcBorders>
            <w:shd w:val="clear" w:color="FFFFFF" w:fill="FFFFFF"/>
            <w:noWrap/>
            <w:vAlign w:val="bottom"/>
          </w:tcPr>
          <w:p w14:paraId="5F2310CC" w14:textId="3361ECDC"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71,00</w:t>
            </w:r>
          </w:p>
        </w:tc>
        <w:tc>
          <w:tcPr>
            <w:tcW w:w="851" w:type="dxa"/>
            <w:tcBorders>
              <w:top w:val="nil"/>
              <w:left w:val="nil"/>
              <w:bottom w:val="single" w:sz="4" w:space="0" w:color="000000"/>
              <w:right w:val="single" w:sz="4" w:space="0" w:color="000000"/>
            </w:tcBorders>
            <w:shd w:val="clear" w:color="FFFFFF" w:fill="FFFFFF"/>
            <w:noWrap/>
            <w:vAlign w:val="bottom"/>
            <w:hideMark/>
          </w:tcPr>
          <w:p w14:paraId="5F483CEC" w14:textId="4EC88D16"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1</w:t>
            </w:r>
            <w:r w:rsidR="00CF3572"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71560944" w14:textId="7574D8A8"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781,00</w:t>
            </w:r>
          </w:p>
        </w:tc>
      </w:tr>
      <w:tr w:rsidR="001F1959" w:rsidRPr="005878FA" w14:paraId="36EA8C14"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9955222" w14:textId="04D5AF7D" w:rsidR="00A64D25" w:rsidRPr="005878FA" w:rsidRDefault="00CF3572" w:rsidP="00CF3572">
            <w:pPr>
              <w:rPr>
                <w:rFonts w:eastAsiaTheme="minorHAnsi" w:cs="Arial"/>
                <w:sz w:val="22"/>
                <w:szCs w:val="22"/>
                <w:lang w:eastAsia="en-US"/>
              </w:rPr>
            </w:pPr>
            <w:r w:rsidRPr="005878FA">
              <w:rPr>
                <w:rFonts w:eastAsiaTheme="minorHAnsi" w:cs="Arial"/>
                <w:sz w:val="22"/>
                <w:szCs w:val="22"/>
                <w:lang w:eastAsia="en-US"/>
              </w:rPr>
              <w:t xml:space="preserve">ESTACAO DE TRABALHO EM L, COM 2 GAVETEIROS </w:t>
            </w:r>
          </w:p>
        </w:tc>
        <w:tc>
          <w:tcPr>
            <w:tcW w:w="1275" w:type="dxa"/>
            <w:tcBorders>
              <w:top w:val="nil"/>
              <w:left w:val="nil"/>
              <w:bottom w:val="single" w:sz="4" w:space="0" w:color="000000"/>
              <w:right w:val="single" w:sz="4" w:space="0" w:color="000000"/>
            </w:tcBorders>
            <w:shd w:val="clear" w:color="FFFFFF" w:fill="FFFFFF"/>
            <w:noWrap/>
            <w:vAlign w:val="bottom"/>
          </w:tcPr>
          <w:p w14:paraId="107CB4A0" w14:textId="3B21E2E3"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109,60</w:t>
            </w:r>
          </w:p>
        </w:tc>
        <w:tc>
          <w:tcPr>
            <w:tcW w:w="851" w:type="dxa"/>
            <w:tcBorders>
              <w:top w:val="nil"/>
              <w:left w:val="nil"/>
              <w:bottom w:val="single" w:sz="4" w:space="0" w:color="000000"/>
              <w:right w:val="single" w:sz="4" w:space="0" w:color="000000"/>
            </w:tcBorders>
            <w:shd w:val="clear" w:color="FFFFFF" w:fill="FFFFFF"/>
            <w:noWrap/>
            <w:vAlign w:val="bottom"/>
            <w:hideMark/>
          </w:tcPr>
          <w:p w14:paraId="1B2A2289" w14:textId="7DA78F9A"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A7BB564" w14:textId="1F697E63"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109,60</w:t>
            </w:r>
          </w:p>
        </w:tc>
      </w:tr>
      <w:tr w:rsidR="001F1959" w:rsidRPr="005878FA" w14:paraId="4AA8CDA9"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F0CB16E" w14:textId="595C76A6" w:rsidR="00A64D25" w:rsidRPr="005878FA" w:rsidRDefault="00CF3572" w:rsidP="00A64D25">
            <w:pPr>
              <w:rPr>
                <w:rFonts w:eastAsiaTheme="minorHAnsi" w:cs="Arial"/>
                <w:sz w:val="22"/>
                <w:szCs w:val="22"/>
                <w:lang w:eastAsia="en-US"/>
              </w:rPr>
            </w:pPr>
            <w:r w:rsidRPr="005878FA">
              <w:rPr>
                <w:rFonts w:eastAsiaTheme="minorHAnsi" w:cs="Arial"/>
                <w:sz w:val="22"/>
                <w:szCs w:val="22"/>
                <w:lang w:eastAsia="en-US"/>
              </w:rPr>
              <w:t>SOFA EM TECIDO DE 02 LUGARES</w:t>
            </w:r>
          </w:p>
        </w:tc>
        <w:tc>
          <w:tcPr>
            <w:tcW w:w="1275" w:type="dxa"/>
            <w:tcBorders>
              <w:top w:val="nil"/>
              <w:left w:val="nil"/>
              <w:bottom w:val="single" w:sz="4" w:space="0" w:color="000000"/>
              <w:right w:val="single" w:sz="4" w:space="0" w:color="000000"/>
            </w:tcBorders>
            <w:shd w:val="clear" w:color="FFFFFF" w:fill="FFFFFF"/>
            <w:noWrap/>
            <w:vAlign w:val="bottom"/>
          </w:tcPr>
          <w:p w14:paraId="04FFC4D2" w14:textId="684243C1"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96,56</w:t>
            </w:r>
          </w:p>
        </w:tc>
        <w:tc>
          <w:tcPr>
            <w:tcW w:w="851" w:type="dxa"/>
            <w:tcBorders>
              <w:top w:val="nil"/>
              <w:left w:val="nil"/>
              <w:bottom w:val="single" w:sz="4" w:space="0" w:color="000000"/>
              <w:right w:val="single" w:sz="4" w:space="0" w:color="000000"/>
            </w:tcBorders>
            <w:shd w:val="clear" w:color="FFFFFF" w:fill="FFFFFF"/>
            <w:noWrap/>
            <w:vAlign w:val="bottom"/>
            <w:hideMark/>
          </w:tcPr>
          <w:p w14:paraId="632E696E" w14:textId="74BA048A"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2</w:t>
            </w:r>
          </w:p>
        </w:tc>
        <w:tc>
          <w:tcPr>
            <w:tcW w:w="1276" w:type="dxa"/>
            <w:tcBorders>
              <w:top w:val="nil"/>
              <w:left w:val="nil"/>
              <w:bottom w:val="single" w:sz="4" w:space="0" w:color="000000"/>
              <w:right w:val="single" w:sz="4" w:space="0" w:color="auto"/>
            </w:tcBorders>
            <w:shd w:val="clear" w:color="FFFFFF" w:fill="FFFFFF"/>
            <w:noWrap/>
            <w:vAlign w:val="bottom"/>
          </w:tcPr>
          <w:p w14:paraId="068F8332" w14:textId="006F0797"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193,12</w:t>
            </w:r>
          </w:p>
        </w:tc>
      </w:tr>
      <w:tr w:rsidR="001F1959" w:rsidRPr="005878FA" w14:paraId="6531A790"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48E6A496" w14:textId="4611E4B0" w:rsidR="00A64D25" w:rsidRPr="005878FA" w:rsidRDefault="00CF3572" w:rsidP="00A64D25">
            <w:pPr>
              <w:rPr>
                <w:rFonts w:eastAsiaTheme="minorHAnsi" w:cs="Arial"/>
                <w:sz w:val="22"/>
                <w:szCs w:val="22"/>
                <w:lang w:eastAsia="en-US"/>
              </w:rPr>
            </w:pPr>
            <w:r w:rsidRPr="005878FA">
              <w:rPr>
                <w:rFonts w:eastAsiaTheme="minorHAnsi" w:cs="Arial"/>
                <w:sz w:val="22"/>
                <w:szCs w:val="22"/>
                <w:lang w:eastAsia="en-US"/>
              </w:rPr>
              <w:t>FILTRO PURIFICADOR PARA AGUA</w:t>
            </w:r>
          </w:p>
        </w:tc>
        <w:tc>
          <w:tcPr>
            <w:tcW w:w="1275" w:type="dxa"/>
            <w:tcBorders>
              <w:top w:val="nil"/>
              <w:left w:val="nil"/>
              <w:bottom w:val="single" w:sz="4" w:space="0" w:color="000000"/>
              <w:right w:val="single" w:sz="4" w:space="0" w:color="000000"/>
            </w:tcBorders>
            <w:shd w:val="clear" w:color="FFFFFF" w:fill="FFFFFF"/>
            <w:noWrap/>
            <w:vAlign w:val="bottom"/>
          </w:tcPr>
          <w:p w14:paraId="5344E050" w14:textId="3A67DC8E"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72,90</w:t>
            </w:r>
          </w:p>
        </w:tc>
        <w:tc>
          <w:tcPr>
            <w:tcW w:w="851" w:type="dxa"/>
            <w:tcBorders>
              <w:top w:val="nil"/>
              <w:left w:val="nil"/>
              <w:bottom w:val="single" w:sz="4" w:space="0" w:color="000000"/>
              <w:right w:val="single" w:sz="4" w:space="0" w:color="000000"/>
            </w:tcBorders>
            <w:shd w:val="clear" w:color="FFFFFF" w:fill="FFFFFF"/>
            <w:noWrap/>
            <w:vAlign w:val="bottom"/>
            <w:hideMark/>
          </w:tcPr>
          <w:p w14:paraId="145E4464" w14:textId="77777777"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7F72764F" w14:textId="4262C1F7" w:rsidR="00A64D25" w:rsidRPr="005878FA" w:rsidRDefault="00CF3572" w:rsidP="00A64D25">
            <w:pPr>
              <w:jc w:val="center"/>
              <w:rPr>
                <w:rFonts w:eastAsiaTheme="minorHAnsi" w:cs="Arial"/>
                <w:sz w:val="22"/>
                <w:szCs w:val="22"/>
                <w:lang w:eastAsia="en-US"/>
              </w:rPr>
            </w:pPr>
            <w:r w:rsidRPr="005878FA">
              <w:rPr>
                <w:rFonts w:eastAsiaTheme="minorHAnsi" w:cs="Arial"/>
                <w:sz w:val="22"/>
                <w:szCs w:val="22"/>
                <w:lang w:eastAsia="en-US"/>
              </w:rPr>
              <w:t>72,90</w:t>
            </w:r>
          </w:p>
        </w:tc>
      </w:tr>
      <w:tr w:rsidR="001F1959" w:rsidRPr="005878FA" w14:paraId="58C264E2" w14:textId="77777777" w:rsidTr="00CF3572">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CF62AAF" w14:textId="74BE4DD8" w:rsidR="00A64D25" w:rsidRPr="005878FA" w:rsidRDefault="000179C9" w:rsidP="00A64D25">
            <w:pPr>
              <w:rPr>
                <w:rFonts w:eastAsiaTheme="minorHAnsi" w:cs="Arial"/>
                <w:sz w:val="22"/>
                <w:szCs w:val="22"/>
                <w:lang w:eastAsia="en-US"/>
              </w:rPr>
            </w:pPr>
            <w:r w:rsidRPr="005878FA">
              <w:rPr>
                <w:rFonts w:eastAsiaTheme="minorHAnsi" w:cs="Arial"/>
                <w:sz w:val="22"/>
                <w:szCs w:val="22"/>
                <w:lang w:eastAsia="en-US"/>
              </w:rPr>
              <w:t>ESTABILIZADOR DE VOLTAGEM 5KVA 220V 110V 60HZ</w:t>
            </w:r>
          </w:p>
        </w:tc>
        <w:tc>
          <w:tcPr>
            <w:tcW w:w="1275" w:type="dxa"/>
            <w:tcBorders>
              <w:top w:val="nil"/>
              <w:left w:val="nil"/>
              <w:bottom w:val="single" w:sz="4" w:space="0" w:color="000000"/>
              <w:right w:val="single" w:sz="4" w:space="0" w:color="000000"/>
            </w:tcBorders>
            <w:shd w:val="clear" w:color="FFFFFF" w:fill="FFFFFF"/>
            <w:noWrap/>
            <w:vAlign w:val="bottom"/>
          </w:tcPr>
          <w:p w14:paraId="4AD06094" w14:textId="782A24A9" w:rsidR="00A64D25" w:rsidRPr="005878FA" w:rsidRDefault="000179C9" w:rsidP="00A64D25">
            <w:pPr>
              <w:jc w:val="center"/>
              <w:rPr>
                <w:rFonts w:eastAsiaTheme="minorHAnsi" w:cs="Arial"/>
                <w:sz w:val="22"/>
                <w:szCs w:val="22"/>
                <w:lang w:eastAsia="en-US"/>
              </w:rPr>
            </w:pPr>
            <w:r w:rsidRPr="005878FA">
              <w:rPr>
                <w:rFonts w:eastAsiaTheme="minorHAnsi" w:cs="Arial"/>
                <w:sz w:val="22"/>
                <w:szCs w:val="22"/>
                <w:lang w:eastAsia="en-US"/>
              </w:rPr>
              <w:t>790,00</w:t>
            </w:r>
          </w:p>
        </w:tc>
        <w:tc>
          <w:tcPr>
            <w:tcW w:w="851" w:type="dxa"/>
            <w:tcBorders>
              <w:top w:val="nil"/>
              <w:left w:val="nil"/>
              <w:bottom w:val="single" w:sz="4" w:space="0" w:color="000000"/>
              <w:right w:val="single" w:sz="4" w:space="0" w:color="000000"/>
            </w:tcBorders>
            <w:shd w:val="clear" w:color="FFFFFF" w:fill="FFFFFF"/>
            <w:noWrap/>
            <w:vAlign w:val="bottom"/>
            <w:hideMark/>
          </w:tcPr>
          <w:p w14:paraId="3715E1E9" w14:textId="795152CF" w:rsidR="00A64D25" w:rsidRPr="005878FA" w:rsidRDefault="000179C9"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5D8880CF" w14:textId="03D24A8D" w:rsidR="00A64D25" w:rsidRPr="005878FA" w:rsidRDefault="000179C9" w:rsidP="00A64D25">
            <w:pPr>
              <w:jc w:val="center"/>
              <w:rPr>
                <w:rFonts w:eastAsiaTheme="minorHAnsi" w:cs="Arial"/>
                <w:sz w:val="22"/>
                <w:szCs w:val="22"/>
                <w:lang w:eastAsia="en-US"/>
              </w:rPr>
            </w:pPr>
            <w:r w:rsidRPr="005878FA">
              <w:rPr>
                <w:rFonts w:eastAsiaTheme="minorHAnsi" w:cs="Arial"/>
                <w:sz w:val="22"/>
                <w:szCs w:val="22"/>
                <w:lang w:eastAsia="en-US"/>
              </w:rPr>
              <w:t>790,00</w:t>
            </w:r>
          </w:p>
        </w:tc>
      </w:tr>
      <w:tr w:rsidR="001F1959" w:rsidRPr="005878FA" w14:paraId="790DABF6"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4A50A38" w14:textId="60BD67A8" w:rsidR="00A64D25" w:rsidRPr="005878FA" w:rsidRDefault="000179C9" w:rsidP="00236835">
            <w:pPr>
              <w:rPr>
                <w:rFonts w:eastAsiaTheme="minorHAnsi" w:cs="Arial"/>
                <w:sz w:val="22"/>
                <w:szCs w:val="22"/>
                <w:lang w:eastAsia="en-US"/>
              </w:rPr>
            </w:pPr>
            <w:r w:rsidRPr="005878FA">
              <w:rPr>
                <w:rFonts w:eastAsiaTheme="minorHAnsi" w:cs="Arial"/>
                <w:sz w:val="22"/>
                <w:szCs w:val="22"/>
                <w:lang w:eastAsia="en-US"/>
              </w:rPr>
              <w:t>EXTINTOR DE INCENDIO TIPO CO2</w:t>
            </w:r>
            <w:r w:rsidR="00236835" w:rsidRPr="005878FA">
              <w:rPr>
                <w:rFonts w:eastAsiaTheme="minorHAnsi" w:cs="Arial"/>
                <w:sz w:val="22"/>
                <w:szCs w:val="22"/>
                <w:lang w:eastAsia="en-US"/>
              </w:rPr>
              <w:t>,</w:t>
            </w:r>
            <w:r w:rsidRPr="005878FA">
              <w:rPr>
                <w:rFonts w:eastAsiaTheme="minorHAnsi" w:cs="Arial"/>
                <w:sz w:val="22"/>
                <w:szCs w:val="22"/>
                <w:lang w:eastAsia="en-US"/>
              </w:rPr>
              <w:t xml:space="preserve"> 6 KG</w:t>
            </w:r>
          </w:p>
        </w:tc>
        <w:tc>
          <w:tcPr>
            <w:tcW w:w="1275" w:type="dxa"/>
            <w:tcBorders>
              <w:top w:val="nil"/>
              <w:left w:val="nil"/>
              <w:bottom w:val="single" w:sz="4" w:space="0" w:color="000000"/>
              <w:right w:val="single" w:sz="4" w:space="0" w:color="000000"/>
            </w:tcBorders>
            <w:shd w:val="clear" w:color="FFFFFF" w:fill="FFFFFF"/>
            <w:noWrap/>
            <w:vAlign w:val="bottom"/>
          </w:tcPr>
          <w:p w14:paraId="3A85D133" w14:textId="6A9893AB"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45,50</w:t>
            </w:r>
          </w:p>
        </w:tc>
        <w:tc>
          <w:tcPr>
            <w:tcW w:w="851" w:type="dxa"/>
            <w:tcBorders>
              <w:top w:val="nil"/>
              <w:left w:val="nil"/>
              <w:bottom w:val="single" w:sz="4" w:space="0" w:color="000000"/>
              <w:right w:val="single" w:sz="4" w:space="0" w:color="000000"/>
            </w:tcBorders>
            <w:shd w:val="clear" w:color="FFFFFF" w:fill="FFFFFF"/>
            <w:noWrap/>
            <w:vAlign w:val="bottom"/>
          </w:tcPr>
          <w:p w14:paraId="3AB7569D" w14:textId="7A65F962"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3</w:t>
            </w:r>
          </w:p>
        </w:tc>
        <w:tc>
          <w:tcPr>
            <w:tcW w:w="1276" w:type="dxa"/>
            <w:tcBorders>
              <w:top w:val="nil"/>
              <w:left w:val="nil"/>
              <w:bottom w:val="single" w:sz="4" w:space="0" w:color="000000"/>
              <w:right w:val="single" w:sz="4" w:space="0" w:color="auto"/>
            </w:tcBorders>
            <w:shd w:val="clear" w:color="FFFFFF" w:fill="FFFFFF"/>
            <w:noWrap/>
            <w:vAlign w:val="bottom"/>
          </w:tcPr>
          <w:p w14:paraId="26828AA5" w14:textId="0ACB727F"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136,50</w:t>
            </w:r>
          </w:p>
        </w:tc>
      </w:tr>
      <w:tr w:rsidR="001F1959" w:rsidRPr="005878FA" w14:paraId="4D7432B2"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C8AFC46" w14:textId="5D3E6F19" w:rsidR="00A64D25" w:rsidRPr="005878FA" w:rsidRDefault="00236835" w:rsidP="00236835">
            <w:pPr>
              <w:rPr>
                <w:rFonts w:eastAsiaTheme="minorHAnsi" w:cs="Arial"/>
                <w:sz w:val="22"/>
                <w:szCs w:val="22"/>
                <w:lang w:eastAsia="en-US"/>
              </w:rPr>
            </w:pPr>
            <w:r w:rsidRPr="005878FA">
              <w:rPr>
                <w:rFonts w:eastAsiaTheme="minorHAnsi" w:cs="Arial"/>
                <w:sz w:val="22"/>
                <w:szCs w:val="22"/>
                <w:lang w:eastAsia="en-US"/>
              </w:rPr>
              <w:t>EXTINTOR DE INCENDIO DE PO QUIMICO, TIPO ABC, 4 KG</w:t>
            </w:r>
          </w:p>
        </w:tc>
        <w:tc>
          <w:tcPr>
            <w:tcW w:w="1275" w:type="dxa"/>
            <w:tcBorders>
              <w:top w:val="nil"/>
              <w:left w:val="nil"/>
              <w:bottom w:val="single" w:sz="4" w:space="0" w:color="000000"/>
              <w:right w:val="single" w:sz="4" w:space="0" w:color="000000"/>
            </w:tcBorders>
            <w:shd w:val="clear" w:color="FFFFFF" w:fill="FFFFFF"/>
            <w:noWrap/>
            <w:vAlign w:val="bottom"/>
          </w:tcPr>
          <w:p w14:paraId="1AFCBF4E" w14:textId="199578EB"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24,50</w:t>
            </w:r>
          </w:p>
        </w:tc>
        <w:tc>
          <w:tcPr>
            <w:tcW w:w="851" w:type="dxa"/>
            <w:tcBorders>
              <w:top w:val="nil"/>
              <w:left w:val="nil"/>
              <w:bottom w:val="single" w:sz="4" w:space="0" w:color="000000"/>
              <w:right w:val="single" w:sz="4" w:space="0" w:color="000000"/>
            </w:tcBorders>
            <w:shd w:val="clear" w:color="FFFFFF" w:fill="FFFFFF"/>
            <w:noWrap/>
            <w:vAlign w:val="bottom"/>
          </w:tcPr>
          <w:p w14:paraId="6D43DDD0" w14:textId="164C9163"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5FA16388" w14:textId="184527C0"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24,50</w:t>
            </w:r>
          </w:p>
        </w:tc>
      </w:tr>
      <w:tr w:rsidR="001F1959" w:rsidRPr="005878FA" w14:paraId="2D52B8A9"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7DC9ABC7" w14:textId="77B88266" w:rsidR="00A64D25" w:rsidRPr="005878FA" w:rsidRDefault="00236835" w:rsidP="00A64D25">
            <w:pPr>
              <w:rPr>
                <w:rFonts w:eastAsiaTheme="minorHAnsi" w:cs="Arial"/>
                <w:sz w:val="22"/>
                <w:szCs w:val="22"/>
                <w:lang w:eastAsia="en-US"/>
              </w:rPr>
            </w:pPr>
            <w:r w:rsidRPr="005878FA">
              <w:rPr>
                <w:rFonts w:eastAsiaTheme="minorHAnsi" w:cs="Arial"/>
                <w:sz w:val="22"/>
                <w:szCs w:val="22"/>
                <w:lang w:eastAsia="en-US"/>
              </w:rPr>
              <w:t>EXTINTOR DE INCENDIO DE PO QUIMICO, TIPO ABC, 6 KG</w:t>
            </w:r>
          </w:p>
        </w:tc>
        <w:tc>
          <w:tcPr>
            <w:tcW w:w="1275" w:type="dxa"/>
            <w:tcBorders>
              <w:top w:val="nil"/>
              <w:left w:val="nil"/>
              <w:bottom w:val="single" w:sz="4" w:space="0" w:color="000000"/>
              <w:right w:val="single" w:sz="4" w:space="0" w:color="000000"/>
            </w:tcBorders>
            <w:shd w:val="clear" w:color="FFFFFF" w:fill="FFFFFF"/>
            <w:noWrap/>
            <w:vAlign w:val="bottom"/>
          </w:tcPr>
          <w:p w14:paraId="3CCFFEAF" w14:textId="235F7F2F"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27,50</w:t>
            </w:r>
          </w:p>
        </w:tc>
        <w:tc>
          <w:tcPr>
            <w:tcW w:w="851" w:type="dxa"/>
            <w:tcBorders>
              <w:top w:val="nil"/>
              <w:left w:val="nil"/>
              <w:bottom w:val="single" w:sz="4" w:space="0" w:color="000000"/>
              <w:right w:val="single" w:sz="4" w:space="0" w:color="000000"/>
            </w:tcBorders>
            <w:shd w:val="clear" w:color="FFFFFF" w:fill="FFFFFF"/>
            <w:noWrap/>
            <w:vAlign w:val="bottom"/>
          </w:tcPr>
          <w:p w14:paraId="126A5020" w14:textId="219EED51"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w:t>
            </w:r>
          </w:p>
        </w:tc>
        <w:tc>
          <w:tcPr>
            <w:tcW w:w="1276" w:type="dxa"/>
            <w:tcBorders>
              <w:top w:val="nil"/>
              <w:left w:val="nil"/>
              <w:bottom w:val="single" w:sz="4" w:space="0" w:color="000000"/>
              <w:right w:val="single" w:sz="4" w:space="0" w:color="auto"/>
            </w:tcBorders>
            <w:shd w:val="clear" w:color="FFFFFF" w:fill="FFFFFF"/>
            <w:noWrap/>
            <w:vAlign w:val="bottom"/>
          </w:tcPr>
          <w:p w14:paraId="13909938" w14:textId="2CA358DA"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55,00</w:t>
            </w:r>
          </w:p>
        </w:tc>
      </w:tr>
      <w:tr w:rsidR="001F1959" w:rsidRPr="005878FA" w14:paraId="01A976A4"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982F187" w14:textId="2C39952A" w:rsidR="00A64D25" w:rsidRPr="005878FA" w:rsidRDefault="00236835" w:rsidP="00A64D25">
            <w:pPr>
              <w:rPr>
                <w:rFonts w:eastAsiaTheme="minorHAnsi" w:cs="Arial"/>
                <w:sz w:val="22"/>
                <w:szCs w:val="22"/>
                <w:lang w:eastAsia="en-US"/>
              </w:rPr>
            </w:pPr>
            <w:r w:rsidRPr="005878FA">
              <w:rPr>
                <w:rFonts w:eastAsiaTheme="minorHAnsi" w:cs="Arial"/>
                <w:sz w:val="22"/>
                <w:szCs w:val="22"/>
                <w:lang w:eastAsia="en-US"/>
              </w:rPr>
              <w:lastRenderedPageBreak/>
              <w:t>EXTINTOR DE INCENDIO , TIPO AP, 10L</w:t>
            </w:r>
          </w:p>
        </w:tc>
        <w:tc>
          <w:tcPr>
            <w:tcW w:w="1275" w:type="dxa"/>
            <w:tcBorders>
              <w:top w:val="nil"/>
              <w:left w:val="nil"/>
              <w:bottom w:val="single" w:sz="4" w:space="0" w:color="000000"/>
              <w:right w:val="single" w:sz="4" w:space="0" w:color="000000"/>
            </w:tcBorders>
            <w:shd w:val="clear" w:color="FFFFFF" w:fill="FFFFFF"/>
            <w:noWrap/>
            <w:vAlign w:val="bottom"/>
          </w:tcPr>
          <w:p w14:paraId="0F78A27C" w14:textId="011CE0A8"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19,00</w:t>
            </w:r>
          </w:p>
        </w:tc>
        <w:tc>
          <w:tcPr>
            <w:tcW w:w="851" w:type="dxa"/>
            <w:tcBorders>
              <w:top w:val="nil"/>
              <w:left w:val="nil"/>
              <w:bottom w:val="single" w:sz="4" w:space="0" w:color="000000"/>
              <w:right w:val="single" w:sz="4" w:space="0" w:color="000000"/>
            </w:tcBorders>
            <w:shd w:val="clear" w:color="FFFFFF" w:fill="FFFFFF"/>
            <w:noWrap/>
            <w:vAlign w:val="bottom"/>
          </w:tcPr>
          <w:p w14:paraId="21FE2BBE" w14:textId="4BE3399D"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w:t>
            </w:r>
          </w:p>
        </w:tc>
        <w:tc>
          <w:tcPr>
            <w:tcW w:w="1276" w:type="dxa"/>
            <w:tcBorders>
              <w:top w:val="nil"/>
              <w:left w:val="nil"/>
              <w:bottom w:val="single" w:sz="4" w:space="0" w:color="000000"/>
              <w:right w:val="single" w:sz="4" w:space="0" w:color="auto"/>
            </w:tcBorders>
            <w:shd w:val="clear" w:color="FFFFFF" w:fill="FFFFFF"/>
            <w:noWrap/>
            <w:vAlign w:val="bottom"/>
          </w:tcPr>
          <w:p w14:paraId="2EE0D072" w14:textId="505608FC"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38,00</w:t>
            </w:r>
          </w:p>
        </w:tc>
      </w:tr>
      <w:tr w:rsidR="001F1959" w:rsidRPr="005878FA" w14:paraId="42137AF4"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D392128" w14:textId="458608E5" w:rsidR="00A64D25" w:rsidRPr="005878FA" w:rsidRDefault="00236835" w:rsidP="00236835">
            <w:pPr>
              <w:rPr>
                <w:rFonts w:eastAsiaTheme="minorHAnsi" w:cs="Arial"/>
                <w:sz w:val="22"/>
                <w:szCs w:val="22"/>
                <w:lang w:eastAsia="en-US"/>
              </w:rPr>
            </w:pPr>
            <w:r w:rsidRPr="005878FA">
              <w:rPr>
                <w:rFonts w:eastAsiaTheme="minorHAnsi" w:cs="Arial"/>
                <w:sz w:val="22"/>
                <w:szCs w:val="22"/>
                <w:lang w:eastAsia="en-US"/>
              </w:rPr>
              <w:t>APARELHO AR CONDICIONADO 12.000 BTUS</w:t>
            </w:r>
          </w:p>
        </w:tc>
        <w:tc>
          <w:tcPr>
            <w:tcW w:w="1275" w:type="dxa"/>
            <w:tcBorders>
              <w:top w:val="nil"/>
              <w:left w:val="nil"/>
              <w:bottom w:val="single" w:sz="4" w:space="0" w:color="000000"/>
              <w:right w:val="single" w:sz="4" w:space="0" w:color="000000"/>
            </w:tcBorders>
            <w:shd w:val="clear" w:color="FFFFFF" w:fill="FFFFFF"/>
            <w:noWrap/>
            <w:vAlign w:val="bottom"/>
          </w:tcPr>
          <w:p w14:paraId="73B9E27B" w14:textId="35273867"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196,34</w:t>
            </w:r>
          </w:p>
        </w:tc>
        <w:tc>
          <w:tcPr>
            <w:tcW w:w="851" w:type="dxa"/>
            <w:tcBorders>
              <w:top w:val="nil"/>
              <w:left w:val="nil"/>
              <w:bottom w:val="single" w:sz="4" w:space="0" w:color="000000"/>
              <w:right w:val="single" w:sz="4" w:space="0" w:color="000000"/>
            </w:tcBorders>
            <w:shd w:val="clear" w:color="FFFFFF" w:fill="FFFFFF"/>
            <w:noWrap/>
            <w:vAlign w:val="bottom"/>
          </w:tcPr>
          <w:p w14:paraId="3D328404" w14:textId="3CABAA8C"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55FF66B1" w14:textId="08F27AD9"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196,34</w:t>
            </w:r>
          </w:p>
        </w:tc>
      </w:tr>
      <w:tr w:rsidR="001F1959" w:rsidRPr="005878FA" w14:paraId="2D293CA2"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060B6A4" w14:textId="2731890B" w:rsidR="00A64D25" w:rsidRPr="005878FA" w:rsidRDefault="00236835" w:rsidP="00A64D25">
            <w:pPr>
              <w:rPr>
                <w:rFonts w:eastAsiaTheme="minorHAnsi" w:cs="Arial"/>
                <w:sz w:val="22"/>
                <w:szCs w:val="22"/>
                <w:lang w:eastAsia="en-US"/>
              </w:rPr>
            </w:pPr>
            <w:r w:rsidRPr="005878FA">
              <w:rPr>
                <w:rFonts w:eastAsiaTheme="minorHAnsi" w:cs="Arial"/>
                <w:sz w:val="22"/>
                <w:szCs w:val="22"/>
                <w:lang w:eastAsia="en-US"/>
              </w:rPr>
              <w:t>APARELHO AR CONDICIONADO 18.000 BTU</w:t>
            </w:r>
          </w:p>
        </w:tc>
        <w:tc>
          <w:tcPr>
            <w:tcW w:w="1275" w:type="dxa"/>
            <w:tcBorders>
              <w:top w:val="nil"/>
              <w:left w:val="nil"/>
              <w:bottom w:val="single" w:sz="4" w:space="0" w:color="000000"/>
              <w:right w:val="single" w:sz="4" w:space="0" w:color="000000"/>
            </w:tcBorders>
            <w:shd w:val="clear" w:color="FFFFFF" w:fill="FFFFFF"/>
            <w:noWrap/>
            <w:vAlign w:val="bottom"/>
          </w:tcPr>
          <w:p w14:paraId="194B5672" w14:textId="5A68949B"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259,89</w:t>
            </w:r>
          </w:p>
        </w:tc>
        <w:tc>
          <w:tcPr>
            <w:tcW w:w="851" w:type="dxa"/>
            <w:tcBorders>
              <w:top w:val="nil"/>
              <w:left w:val="nil"/>
              <w:bottom w:val="single" w:sz="4" w:space="0" w:color="000000"/>
              <w:right w:val="single" w:sz="4" w:space="0" w:color="000000"/>
            </w:tcBorders>
            <w:shd w:val="clear" w:color="FFFFFF" w:fill="FFFFFF"/>
            <w:noWrap/>
            <w:vAlign w:val="bottom"/>
          </w:tcPr>
          <w:p w14:paraId="7A4014F9" w14:textId="6522A8C5"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3</w:t>
            </w:r>
          </w:p>
        </w:tc>
        <w:tc>
          <w:tcPr>
            <w:tcW w:w="1276" w:type="dxa"/>
            <w:tcBorders>
              <w:top w:val="nil"/>
              <w:left w:val="nil"/>
              <w:bottom w:val="single" w:sz="4" w:space="0" w:color="000000"/>
              <w:right w:val="single" w:sz="4" w:space="0" w:color="auto"/>
            </w:tcBorders>
            <w:shd w:val="clear" w:color="FFFFFF" w:fill="FFFFFF"/>
            <w:noWrap/>
            <w:vAlign w:val="bottom"/>
          </w:tcPr>
          <w:p w14:paraId="0771A08F" w14:textId="00366B43"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779,67</w:t>
            </w:r>
          </w:p>
        </w:tc>
      </w:tr>
      <w:tr w:rsidR="001F1959" w:rsidRPr="005878FA" w14:paraId="041ED8E8"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2207CC8C" w14:textId="56820D0A" w:rsidR="00A64D25" w:rsidRPr="005878FA" w:rsidRDefault="00236835" w:rsidP="00A64D25">
            <w:pPr>
              <w:rPr>
                <w:rFonts w:eastAsiaTheme="minorHAnsi" w:cs="Arial"/>
                <w:sz w:val="22"/>
                <w:szCs w:val="22"/>
                <w:lang w:eastAsia="en-US"/>
              </w:rPr>
            </w:pPr>
            <w:r w:rsidRPr="005878FA">
              <w:rPr>
                <w:rFonts w:eastAsiaTheme="minorHAnsi" w:cs="Arial"/>
                <w:sz w:val="22"/>
                <w:szCs w:val="22"/>
                <w:lang w:eastAsia="en-US"/>
              </w:rPr>
              <w:t>APARELHO AR CONDICIONADO 48.000 BTU</w:t>
            </w:r>
          </w:p>
        </w:tc>
        <w:tc>
          <w:tcPr>
            <w:tcW w:w="1275" w:type="dxa"/>
            <w:tcBorders>
              <w:top w:val="nil"/>
              <w:left w:val="nil"/>
              <w:bottom w:val="single" w:sz="4" w:space="0" w:color="000000"/>
              <w:right w:val="single" w:sz="4" w:space="0" w:color="000000"/>
            </w:tcBorders>
            <w:shd w:val="clear" w:color="FFFFFF" w:fill="FFFFFF"/>
            <w:noWrap/>
            <w:vAlign w:val="bottom"/>
          </w:tcPr>
          <w:p w14:paraId="203EEB75" w14:textId="0528462C"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612,50</w:t>
            </w:r>
          </w:p>
        </w:tc>
        <w:tc>
          <w:tcPr>
            <w:tcW w:w="851" w:type="dxa"/>
            <w:tcBorders>
              <w:top w:val="nil"/>
              <w:left w:val="nil"/>
              <w:bottom w:val="single" w:sz="4" w:space="0" w:color="000000"/>
              <w:right w:val="single" w:sz="4" w:space="0" w:color="000000"/>
            </w:tcBorders>
            <w:shd w:val="clear" w:color="FFFFFF" w:fill="FFFFFF"/>
            <w:noWrap/>
            <w:vAlign w:val="bottom"/>
          </w:tcPr>
          <w:p w14:paraId="28DB9DC1" w14:textId="7518AC32"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0C3FBC13" w14:textId="018300F4"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612,50</w:t>
            </w:r>
          </w:p>
        </w:tc>
      </w:tr>
      <w:tr w:rsidR="00883A1F" w:rsidRPr="005878FA" w14:paraId="1C5C5C83"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72B8FFC5" w14:textId="71664F0D" w:rsidR="00883A1F" w:rsidRPr="005878FA" w:rsidRDefault="00A66034" w:rsidP="00A64D25">
            <w:pPr>
              <w:rPr>
                <w:rFonts w:eastAsiaTheme="minorHAnsi" w:cs="Arial"/>
                <w:sz w:val="22"/>
                <w:szCs w:val="22"/>
                <w:lang w:eastAsia="en-US"/>
              </w:rPr>
            </w:pPr>
            <w:r w:rsidRPr="005878FA">
              <w:rPr>
                <w:rFonts w:eastAsiaTheme="minorHAnsi" w:cs="Arial"/>
                <w:sz w:val="22"/>
                <w:szCs w:val="22"/>
                <w:lang w:eastAsia="en-US"/>
              </w:rPr>
              <w:t>APARELHO AR CONDICIONADO 18000 BTU</w:t>
            </w:r>
          </w:p>
        </w:tc>
        <w:tc>
          <w:tcPr>
            <w:tcW w:w="1275" w:type="dxa"/>
            <w:tcBorders>
              <w:top w:val="nil"/>
              <w:left w:val="nil"/>
              <w:bottom w:val="single" w:sz="4" w:space="0" w:color="000000"/>
              <w:right w:val="single" w:sz="4" w:space="0" w:color="000000"/>
            </w:tcBorders>
            <w:shd w:val="clear" w:color="FFFFFF" w:fill="FFFFFF"/>
            <w:noWrap/>
            <w:vAlign w:val="bottom"/>
          </w:tcPr>
          <w:p w14:paraId="3E39124A" w14:textId="10C8775F" w:rsidR="00883A1F"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1.285,20</w:t>
            </w:r>
          </w:p>
        </w:tc>
        <w:tc>
          <w:tcPr>
            <w:tcW w:w="851" w:type="dxa"/>
            <w:tcBorders>
              <w:top w:val="nil"/>
              <w:left w:val="nil"/>
              <w:bottom w:val="single" w:sz="4" w:space="0" w:color="000000"/>
              <w:right w:val="single" w:sz="4" w:space="0" w:color="000000"/>
            </w:tcBorders>
            <w:shd w:val="clear" w:color="FFFFFF" w:fill="FFFFFF"/>
            <w:noWrap/>
            <w:vAlign w:val="bottom"/>
          </w:tcPr>
          <w:p w14:paraId="2E7F861D" w14:textId="75983F4A" w:rsidR="00883A1F"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6D48C938" w14:textId="69CA8BCF" w:rsidR="00883A1F"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1.285,20</w:t>
            </w:r>
          </w:p>
        </w:tc>
      </w:tr>
      <w:tr w:rsidR="00A66034" w:rsidRPr="005878FA" w14:paraId="7FE855FD"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A63E75B" w14:textId="4CEC8771" w:rsidR="00A66034" w:rsidRPr="005878FA" w:rsidRDefault="00A66034" w:rsidP="00A64D25">
            <w:pPr>
              <w:rPr>
                <w:rFonts w:eastAsiaTheme="minorHAnsi" w:cs="Arial"/>
                <w:sz w:val="22"/>
                <w:szCs w:val="22"/>
                <w:lang w:eastAsia="en-US"/>
              </w:rPr>
            </w:pPr>
            <w:r w:rsidRPr="005878FA">
              <w:rPr>
                <w:rFonts w:eastAsiaTheme="minorHAnsi" w:cs="Arial"/>
                <w:sz w:val="22"/>
                <w:szCs w:val="22"/>
                <w:lang w:eastAsia="en-US"/>
              </w:rPr>
              <w:t>APARELHO AR CONDICIONADO 18000 BTU</w:t>
            </w:r>
          </w:p>
        </w:tc>
        <w:tc>
          <w:tcPr>
            <w:tcW w:w="1275" w:type="dxa"/>
            <w:tcBorders>
              <w:top w:val="nil"/>
              <w:left w:val="nil"/>
              <w:bottom w:val="single" w:sz="4" w:space="0" w:color="000000"/>
              <w:right w:val="single" w:sz="4" w:space="0" w:color="000000"/>
            </w:tcBorders>
            <w:shd w:val="clear" w:color="FFFFFF" w:fill="FFFFFF"/>
            <w:noWrap/>
            <w:vAlign w:val="bottom"/>
          </w:tcPr>
          <w:p w14:paraId="25AF561B" w14:textId="51D4676A"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1.424,60</w:t>
            </w:r>
          </w:p>
        </w:tc>
        <w:tc>
          <w:tcPr>
            <w:tcW w:w="851" w:type="dxa"/>
            <w:tcBorders>
              <w:top w:val="nil"/>
              <w:left w:val="nil"/>
              <w:bottom w:val="single" w:sz="4" w:space="0" w:color="000000"/>
              <w:right w:val="single" w:sz="4" w:space="0" w:color="000000"/>
            </w:tcBorders>
            <w:shd w:val="clear" w:color="FFFFFF" w:fill="FFFFFF"/>
            <w:noWrap/>
            <w:vAlign w:val="bottom"/>
          </w:tcPr>
          <w:p w14:paraId="528702E7" w14:textId="355A5B30"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2</w:t>
            </w:r>
          </w:p>
        </w:tc>
        <w:tc>
          <w:tcPr>
            <w:tcW w:w="1276" w:type="dxa"/>
            <w:tcBorders>
              <w:top w:val="nil"/>
              <w:left w:val="nil"/>
              <w:bottom w:val="single" w:sz="4" w:space="0" w:color="000000"/>
              <w:right w:val="single" w:sz="4" w:space="0" w:color="auto"/>
            </w:tcBorders>
            <w:shd w:val="clear" w:color="FFFFFF" w:fill="FFFFFF"/>
            <w:noWrap/>
            <w:vAlign w:val="bottom"/>
          </w:tcPr>
          <w:p w14:paraId="2087417F" w14:textId="24BF1A79"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2.849,20</w:t>
            </w:r>
          </w:p>
        </w:tc>
      </w:tr>
      <w:tr w:rsidR="00A66034" w:rsidRPr="005878FA" w14:paraId="3E825FAC"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4D6DF50C" w14:textId="40D93A00" w:rsidR="00A66034" w:rsidRPr="005878FA" w:rsidRDefault="00A66034" w:rsidP="00A64D25">
            <w:pPr>
              <w:rPr>
                <w:rFonts w:eastAsiaTheme="minorHAnsi" w:cs="Arial"/>
                <w:sz w:val="22"/>
                <w:szCs w:val="22"/>
                <w:lang w:eastAsia="en-US"/>
              </w:rPr>
            </w:pPr>
            <w:r w:rsidRPr="005878FA">
              <w:rPr>
                <w:rFonts w:eastAsiaTheme="minorHAnsi" w:cs="Arial"/>
                <w:sz w:val="22"/>
                <w:szCs w:val="22"/>
                <w:lang w:eastAsia="en-US"/>
              </w:rPr>
              <w:t>APARELHO AR CONDICIONADO 12.000 BTUS</w:t>
            </w:r>
          </w:p>
        </w:tc>
        <w:tc>
          <w:tcPr>
            <w:tcW w:w="1275" w:type="dxa"/>
            <w:tcBorders>
              <w:top w:val="nil"/>
              <w:left w:val="nil"/>
              <w:bottom w:val="single" w:sz="4" w:space="0" w:color="000000"/>
              <w:right w:val="single" w:sz="4" w:space="0" w:color="000000"/>
            </w:tcBorders>
            <w:shd w:val="clear" w:color="FFFFFF" w:fill="FFFFFF"/>
            <w:noWrap/>
            <w:vAlign w:val="bottom"/>
          </w:tcPr>
          <w:p w14:paraId="0E5E9E5C" w14:textId="58F42D11"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1.064,00</w:t>
            </w:r>
          </w:p>
        </w:tc>
        <w:tc>
          <w:tcPr>
            <w:tcW w:w="851" w:type="dxa"/>
            <w:tcBorders>
              <w:top w:val="nil"/>
              <w:left w:val="nil"/>
              <w:bottom w:val="single" w:sz="4" w:space="0" w:color="000000"/>
              <w:right w:val="single" w:sz="4" w:space="0" w:color="000000"/>
            </w:tcBorders>
            <w:shd w:val="clear" w:color="FFFFFF" w:fill="FFFFFF"/>
            <w:noWrap/>
            <w:vAlign w:val="bottom"/>
          </w:tcPr>
          <w:p w14:paraId="5EEDF075" w14:textId="2A71C84F"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692EABD1" w14:textId="408A8609" w:rsidR="00A66034"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1.064,00</w:t>
            </w:r>
          </w:p>
        </w:tc>
      </w:tr>
      <w:tr w:rsidR="001F1959" w:rsidRPr="005878FA" w14:paraId="028B574E"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2E73F202" w14:textId="6690EBF9" w:rsidR="00A64D25" w:rsidRPr="005878FA" w:rsidRDefault="00236835" w:rsidP="00A64D25">
            <w:pPr>
              <w:rPr>
                <w:rFonts w:eastAsiaTheme="minorHAnsi" w:cs="Arial"/>
                <w:sz w:val="22"/>
                <w:szCs w:val="22"/>
                <w:lang w:eastAsia="en-US"/>
              </w:rPr>
            </w:pPr>
            <w:r w:rsidRPr="005878FA">
              <w:rPr>
                <w:rFonts w:eastAsiaTheme="minorHAnsi" w:cs="Arial"/>
                <w:sz w:val="22"/>
                <w:szCs w:val="22"/>
                <w:lang w:eastAsia="en-US"/>
              </w:rPr>
              <w:t>PERSIANA HORIZONTAL ALUMINIO</w:t>
            </w:r>
          </w:p>
        </w:tc>
        <w:tc>
          <w:tcPr>
            <w:tcW w:w="1275" w:type="dxa"/>
            <w:tcBorders>
              <w:top w:val="nil"/>
              <w:left w:val="nil"/>
              <w:bottom w:val="single" w:sz="4" w:space="0" w:color="000000"/>
              <w:right w:val="single" w:sz="4" w:space="0" w:color="000000"/>
            </w:tcBorders>
            <w:shd w:val="clear" w:color="FFFFFF" w:fill="FFFFFF"/>
            <w:noWrap/>
            <w:vAlign w:val="bottom"/>
          </w:tcPr>
          <w:p w14:paraId="3117F345" w14:textId="73164E19"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22,41</w:t>
            </w:r>
          </w:p>
        </w:tc>
        <w:tc>
          <w:tcPr>
            <w:tcW w:w="851" w:type="dxa"/>
            <w:tcBorders>
              <w:top w:val="nil"/>
              <w:left w:val="nil"/>
              <w:bottom w:val="single" w:sz="4" w:space="0" w:color="000000"/>
              <w:right w:val="single" w:sz="4" w:space="0" w:color="000000"/>
            </w:tcBorders>
            <w:shd w:val="clear" w:color="FFFFFF" w:fill="FFFFFF"/>
            <w:noWrap/>
            <w:vAlign w:val="bottom"/>
          </w:tcPr>
          <w:p w14:paraId="7EDC6EE9" w14:textId="39BF17E8"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5</w:t>
            </w:r>
          </w:p>
        </w:tc>
        <w:tc>
          <w:tcPr>
            <w:tcW w:w="1276" w:type="dxa"/>
            <w:tcBorders>
              <w:top w:val="nil"/>
              <w:left w:val="nil"/>
              <w:bottom w:val="single" w:sz="4" w:space="0" w:color="000000"/>
              <w:right w:val="single" w:sz="4" w:space="0" w:color="auto"/>
            </w:tcBorders>
            <w:shd w:val="clear" w:color="FFFFFF" w:fill="FFFFFF"/>
            <w:noWrap/>
            <w:vAlign w:val="bottom"/>
          </w:tcPr>
          <w:p w14:paraId="6997E078" w14:textId="36EFD800"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112,05</w:t>
            </w:r>
          </w:p>
        </w:tc>
      </w:tr>
      <w:tr w:rsidR="00A66034" w:rsidRPr="005878FA" w14:paraId="574BDE2B"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4D92D6AB" w14:textId="0B04C341" w:rsidR="00A66034" w:rsidRPr="005878FA" w:rsidRDefault="00A66034" w:rsidP="00A66034">
            <w:pPr>
              <w:rPr>
                <w:rFonts w:eastAsiaTheme="minorHAnsi" w:cs="Arial"/>
                <w:sz w:val="22"/>
                <w:szCs w:val="22"/>
                <w:lang w:eastAsia="en-US"/>
              </w:rPr>
            </w:pPr>
            <w:r w:rsidRPr="005878FA">
              <w:rPr>
                <w:rFonts w:eastAsiaTheme="minorHAnsi" w:cs="Arial"/>
                <w:sz w:val="22"/>
                <w:szCs w:val="22"/>
                <w:lang w:eastAsia="en-US"/>
              </w:rPr>
              <w:t>PERSIANA HORIZONTAL ALUMINIO, 25 MM</w:t>
            </w:r>
          </w:p>
        </w:tc>
        <w:tc>
          <w:tcPr>
            <w:tcW w:w="1275" w:type="dxa"/>
            <w:tcBorders>
              <w:top w:val="nil"/>
              <w:left w:val="nil"/>
              <w:bottom w:val="single" w:sz="4" w:space="0" w:color="000000"/>
              <w:right w:val="single" w:sz="4" w:space="0" w:color="000000"/>
            </w:tcBorders>
            <w:shd w:val="clear" w:color="FFFFFF" w:fill="FFFFFF"/>
            <w:noWrap/>
            <w:vAlign w:val="bottom"/>
          </w:tcPr>
          <w:p w14:paraId="154241DB" w14:textId="3AEE3EE4"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113,49</w:t>
            </w:r>
          </w:p>
        </w:tc>
        <w:tc>
          <w:tcPr>
            <w:tcW w:w="851" w:type="dxa"/>
            <w:tcBorders>
              <w:top w:val="nil"/>
              <w:left w:val="nil"/>
              <w:bottom w:val="single" w:sz="4" w:space="0" w:color="000000"/>
              <w:right w:val="single" w:sz="4" w:space="0" w:color="000000"/>
            </w:tcBorders>
            <w:shd w:val="clear" w:color="FFFFFF" w:fill="FFFFFF"/>
            <w:noWrap/>
            <w:vAlign w:val="bottom"/>
          </w:tcPr>
          <w:p w14:paraId="29E518F8" w14:textId="5FA4DF6E"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11</w:t>
            </w:r>
          </w:p>
        </w:tc>
        <w:tc>
          <w:tcPr>
            <w:tcW w:w="1276" w:type="dxa"/>
            <w:tcBorders>
              <w:top w:val="nil"/>
              <w:left w:val="nil"/>
              <w:bottom w:val="single" w:sz="4" w:space="0" w:color="000000"/>
              <w:right w:val="single" w:sz="4" w:space="0" w:color="auto"/>
            </w:tcBorders>
            <w:shd w:val="clear" w:color="FFFFFF" w:fill="FFFFFF"/>
            <w:noWrap/>
            <w:vAlign w:val="bottom"/>
          </w:tcPr>
          <w:p w14:paraId="54FBB497" w14:textId="4D4B49E9" w:rsidR="00A66034"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1.248,39</w:t>
            </w:r>
          </w:p>
        </w:tc>
      </w:tr>
      <w:tr w:rsidR="001F1959" w:rsidRPr="005878FA" w14:paraId="06EB0EEA"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6A0FA8B" w14:textId="2D4F4886" w:rsidR="00A64D25" w:rsidRPr="005878FA" w:rsidRDefault="00236835" w:rsidP="00236835">
            <w:pPr>
              <w:rPr>
                <w:rFonts w:eastAsiaTheme="minorHAnsi" w:cs="Arial"/>
                <w:sz w:val="22"/>
                <w:szCs w:val="22"/>
                <w:lang w:eastAsia="en-US"/>
              </w:rPr>
            </w:pPr>
            <w:r w:rsidRPr="005878FA">
              <w:rPr>
                <w:rFonts w:eastAsiaTheme="minorHAnsi" w:cs="Arial"/>
                <w:sz w:val="22"/>
                <w:szCs w:val="22"/>
                <w:lang w:eastAsia="en-US"/>
              </w:rPr>
              <w:t>GELADEIRA RESIDENCIAL, 240 LITROS</w:t>
            </w:r>
          </w:p>
        </w:tc>
        <w:tc>
          <w:tcPr>
            <w:tcW w:w="1275" w:type="dxa"/>
            <w:tcBorders>
              <w:top w:val="nil"/>
              <w:left w:val="nil"/>
              <w:bottom w:val="single" w:sz="4" w:space="0" w:color="000000"/>
              <w:right w:val="single" w:sz="4" w:space="0" w:color="000000"/>
            </w:tcBorders>
            <w:shd w:val="clear" w:color="FFFFFF" w:fill="FFFFFF"/>
            <w:noWrap/>
            <w:vAlign w:val="bottom"/>
          </w:tcPr>
          <w:p w14:paraId="58B86A9B" w14:textId="570ED171"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255,00</w:t>
            </w:r>
          </w:p>
        </w:tc>
        <w:tc>
          <w:tcPr>
            <w:tcW w:w="851" w:type="dxa"/>
            <w:tcBorders>
              <w:top w:val="nil"/>
              <w:left w:val="nil"/>
              <w:bottom w:val="single" w:sz="4" w:space="0" w:color="000000"/>
              <w:right w:val="single" w:sz="4" w:space="0" w:color="000000"/>
            </w:tcBorders>
            <w:shd w:val="clear" w:color="FFFFFF" w:fill="FFFFFF"/>
            <w:noWrap/>
            <w:vAlign w:val="bottom"/>
          </w:tcPr>
          <w:p w14:paraId="35DEB16C" w14:textId="6E85C912"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B495267" w14:textId="6C20E1CA" w:rsidR="00A64D25" w:rsidRPr="005878FA" w:rsidRDefault="00236835" w:rsidP="00A64D25">
            <w:pPr>
              <w:jc w:val="center"/>
              <w:rPr>
                <w:rFonts w:eastAsiaTheme="minorHAnsi" w:cs="Arial"/>
                <w:sz w:val="22"/>
                <w:szCs w:val="22"/>
                <w:lang w:eastAsia="en-US"/>
              </w:rPr>
            </w:pPr>
            <w:r w:rsidRPr="005878FA">
              <w:rPr>
                <w:rFonts w:eastAsiaTheme="minorHAnsi" w:cs="Arial"/>
                <w:sz w:val="22"/>
                <w:szCs w:val="22"/>
                <w:lang w:eastAsia="en-US"/>
              </w:rPr>
              <w:t>255,00</w:t>
            </w:r>
          </w:p>
        </w:tc>
      </w:tr>
      <w:tr w:rsidR="001F1959" w:rsidRPr="005878FA" w14:paraId="26DADC20"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BBB670F" w14:textId="2D59EBDE" w:rsidR="00A64D25" w:rsidRPr="005878FA" w:rsidRDefault="00883A1F" w:rsidP="00A64D25">
            <w:pPr>
              <w:rPr>
                <w:rFonts w:eastAsiaTheme="minorHAnsi" w:cs="Arial"/>
                <w:sz w:val="22"/>
                <w:szCs w:val="22"/>
                <w:lang w:eastAsia="en-US"/>
              </w:rPr>
            </w:pPr>
            <w:r w:rsidRPr="005878FA">
              <w:rPr>
                <w:rFonts w:eastAsiaTheme="minorHAnsi" w:cs="Arial"/>
                <w:sz w:val="22"/>
                <w:szCs w:val="22"/>
                <w:lang w:eastAsia="en-US"/>
              </w:rPr>
              <w:t>FRAGMENTADORA DE PAPEL</w:t>
            </w:r>
          </w:p>
        </w:tc>
        <w:tc>
          <w:tcPr>
            <w:tcW w:w="1275" w:type="dxa"/>
            <w:tcBorders>
              <w:top w:val="nil"/>
              <w:left w:val="nil"/>
              <w:bottom w:val="single" w:sz="4" w:space="0" w:color="000000"/>
              <w:right w:val="single" w:sz="4" w:space="0" w:color="000000"/>
            </w:tcBorders>
            <w:shd w:val="clear" w:color="FFFFFF" w:fill="FFFFFF"/>
            <w:noWrap/>
            <w:vAlign w:val="bottom"/>
          </w:tcPr>
          <w:p w14:paraId="1F6D70BC" w14:textId="730CBC21"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110,00</w:t>
            </w:r>
          </w:p>
        </w:tc>
        <w:tc>
          <w:tcPr>
            <w:tcW w:w="851" w:type="dxa"/>
            <w:tcBorders>
              <w:top w:val="nil"/>
              <w:left w:val="nil"/>
              <w:bottom w:val="single" w:sz="4" w:space="0" w:color="000000"/>
              <w:right w:val="single" w:sz="4" w:space="0" w:color="000000"/>
            </w:tcBorders>
            <w:shd w:val="clear" w:color="FFFFFF" w:fill="FFFFFF"/>
            <w:noWrap/>
            <w:vAlign w:val="bottom"/>
          </w:tcPr>
          <w:p w14:paraId="448A9E4F" w14:textId="4A9A301B"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14E81784" w14:textId="080910E7"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110,00</w:t>
            </w:r>
          </w:p>
        </w:tc>
      </w:tr>
      <w:tr w:rsidR="001F1959" w:rsidRPr="005878FA" w14:paraId="368D1DCE"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53B81CE" w14:textId="2D298706" w:rsidR="00A64D25" w:rsidRPr="005878FA" w:rsidRDefault="00883A1F" w:rsidP="00A64D25">
            <w:pPr>
              <w:rPr>
                <w:rFonts w:eastAsiaTheme="minorHAnsi" w:cs="Arial"/>
                <w:sz w:val="22"/>
                <w:szCs w:val="22"/>
                <w:lang w:eastAsia="en-US"/>
              </w:rPr>
            </w:pPr>
            <w:r w:rsidRPr="005878FA">
              <w:rPr>
                <w:rFonts w:eastAsiaTheme="minorHAnsi" w:cs="Arial"/>
                <w:sz w:val="22"/>
                <w:szCs w:val="22"/>
                <w:lang w:eastAsia="en-US"/>
              </w:rPr>
              <w:t>MICROCOMPUTADOR INTEL,CORE I3</w:t>
            </w:r>
          </w:p>
        </w:tc>
        <w:tc>
          <w:tcPr>
            <w:tcW w:w="1275" w:type="dxa"/>
            <w:tcBorders>
              <w:top w:val="nil"/>
              <w:left w:val="nil"/>
              <w:bottom w:val="single" w:sz="4" w:space="0" w:color="000000"/>
              <w:right w:val="single" w:sz="4" w:space="0" w:color="000000"/>
            </w:tcBorders>
            <w:shd w:val="clear" w:color="FFFFFF" w:fill="FFFFFF"/>
            <w:noWrap/>
            <w:vAlign w:val="bottom"/>
          </w:tcPr>
          <w:p w14:paraId="46EF8EEE" w14:textId="75EDCF3A"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189,78</w:t>
            </w:r>
          </w:p>
        </w:tc>
        <w:tc>
          <w:tcPr>
            <w:tcW w:w="851" w:type="dxa"/>
            <w:tcBorders>
              <w:top w:val="nil"/>
              <w:left w:val="nil"/>
              <w:bottom w:val="single" w:sz="4" w:space="0" w:color="000000"/>
              <w:right w:val="single" w:sz="4" w:space="0" w:color="000000"/>
            </w:tcBorders>
            <w:shd w:val="clear" w:color="FFFFFF" w:fill="FFFFFF"/>
            <w:noWrap/>
            <w:vAlign w:val="bottom"/>
          </w:tcPr>
          <w:p w14:paraId="6F4B2B28" w14:textId="06618A9A"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9</w:t>
            </w:r>
          </w:p>
        </w:tc>
        <w:tc>
          <w:tcPr>
            <w:tcW w:w="1276" w:type="dxa"/>
            <w:tcBorders>
              <w:top w:val="nil"/>
              <w:left w:val="nil"/>
              <w:bottom w:val="single" w:sz="4" w:space="0" w:color="000000"/>
              <w:right w:val="single" w:sz="4" w:space="0" w:color="auto"/>
            </w:tcBorders>
            <w:shd w:val="clear" w:color="FFFFFF" w:fill="FFFFFF"/>
            <w:noWrap/>
            <w:vAlign w:val="bottom"/>
          </w:tcPr>
          <w:p w14:paraId="31C3908C" w14:textId="0C9CD4F4" w:rsidR="00A64D25" w:rsidRPr="005878FA" w:rsidRDefault="00883A1F" w:rsidP="00883A1F">
            <w:pPr>
              <w:jc w:val="center"/>
              <w:rPr>
                <w:rFonts w:eastAsiaTheme="minorHAnsi" w:cs="Arial"/>
                <w:sz w:val="22"/>
                <w:szCs w:val="22"/>
                <w:lang w:eastAsia="en-US"/>
              </w:rPr>
            </w:pPr>
            <w:r w:rsidRPr="005878FA">
              <w:rPr>
                <w:rFonts w:eastAsiaTheme="minorHAnsi" w:cs="Arial"/>
                <w:sz w:val="22"/>
                <w:szCs w:val="22"/>
                <w:lang w:eastAsia="en-US"/>
              </w:rPr>
              <w:t>1.708,02</w:t>
            </w:r>
          </w:p>
        </w:tc>
      </w:tr>
      <w:tr w:rsidR="00883A1F" w:rsidRPr="005878FA" w14:paraId="62333ED7"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61E7EFDF" w14:textId="5FF48A25" w:rsidR="00883A1F" w:rsidRPr="005878FA" w:rsidRDefault="00883A1F" w:rsidP="00883A1F">
            <w:pPr>
              <w:rPr>
                <w:rFonts w:eastAsiaTheme="minorHAnsi" w:cs="Arial"/>
                <w:sz w:val="22"/>
                <w:szCs w:val="22"/>
                <w:lang w:eastAsia="en-US"/>
              </w:rPr>
            </w:pPr>
            <w:r w:rsidRPr="005878FA">
              <w:rPr>
                <w:rFonts w:eastAsiaTheme="minorHAnsi" w:cs="Arial"/>
                <w:sz w:val="22"/>
                <w:szCs w:val="22"/>
                <w:lang w:eastAsia="en-US"/>
              </w:rPr>
              <w:t>MICROCOMPUTADOR INTEL CORE I5</w:t>
            </w:r>
          </w:p>
        </w:tc>
        <w:tc>
          <w:tcPr>
            <w:tcW w:w="1275" w:type="dxa"/>
            <w:tcBorders>
              <w:top w:val="nil"/>
              <w:left w:val="nil"/>
              <w:bottom w:val="single" w:sz="4" w:space="0" w:color="000000"/>
              <w:right w:val="single" w:sz="4" w:space="0" w:color="000000"/>
            </w:tcBorders>
            <w:shd w:val="clear" w:color="FFFFFF" w:fill="FFFFFF"/>
            <w:noWrap/>
            <w:vAlign w:val="bottom"/>
          </w:tcPr>
          <w:p w14:paraId="19EA2232" w14:textId="6EC2BAA6" w:rsidR="00883A1F"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245,25</w:t>
            </w:r>
          </w:p>
        </w:tc>
        <w:tc>
          <w:tcPr>
            <w:tcW w:w="851" w:type="dxa"/>
            <w:tcBorders>
              <w:top w:val="nil"/>
              <w:left w:val="nil"/>
              <w:bottom w:val="single" w:sz="4" w:space="0" w:color="000000"/>
              <w:right w:val="single" w:sz="4" w:space="0" w:color="000000"/>
            </w:tcBorders>
            <w:shd w:val="clear" w:color="FFFFFF" w:fill="FFFFFF"/>
            <w:noWrap/>
            <w:vAlign w:val="bottom"/>
          </w:tcPr>
          <w:p w14:paraId="462E8605" w14:textId="3F7F6937" w:rsidR="00883A1F"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4</w:t>
            </w:r>
          </w:p>
        </w:tc>
        <w:tc>
          <w:tcPr>
            <w:tcW w:w="1276" w:type="dxa"/>
            <w:tcBorders>
              <w:top w:val="nil"/>
              <w:left w:val="nil"/>
              <w:bottom w:val="single" w:sz="4" w:space="0" w:color="000000"/>
              <w:right w:val="single" w:sz="4" w:space="0" w:color="auto"/>
            </w:tcBorders>
            <w:shd w:val="clear" w:color="FFFFFF" w:fill="FFFFFF"/>
            <w:noWrap/>
            <w:vAlign w:val="bottom"/>
          </w:tcPr>
          <w:p w14:paraId="01D84DF4" w14:textId="1DA38D26" w:rsidR="00883A1F"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981,00</w:t>
            </w:r>
          </w:p>
        </w:tc>
      </w:tr>
      <w:tr w:rsidR="00FF7099" w:rsidRPr="005878FA" w14:paraId="4B5F0ADD"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01E23E9" w14:textId="0C829D5A" w:rsidR="00FF7099" w:rsidRPr="005878FA" w:rsidRDefault="00FF7099" w:rsidP="00883A1F">
            <w:pPr>
              <w:rPr>
                <w:rFonts w:eastAsiaTheme="minorHAnsi" w:cs="Arial"/>
                <w:sz w:val="22"/>
                <w:szCs w:val="22"/>
                <w:lang w:eastAsia="en-US"/>
              </w:rPr>
            </w:pPr>
            <w:r w:rsidRPr="005878FA">
              <w:rPr>
                <w:rFonts w:eastAsiaTheme="minorHAnsi" w:cs="Arial"/>
                <w:sz w:val="22"/>
                <w:szCs w:val="22"/>
                <w:lang w:eastAsia="en-US"/>
              </w:rPr>
              <w:t>MICROCOMPUTADOR INTEL CORE I5</w:t>
            </w:r>
          </w:p>
        </w:tc>
        <w:tc>
          <w:tcPr>
            <w:tcW w:w="1275" w:type="dxa"/>
            <w:tcBorders>
              <w:top w:val="nil"/>
              <w:left w:val="nil"/>
              <w:bottom w:val="single" w:sz="4" w:space="0" w:color="000000"/>
              <w:right w:val="single" w:sz="4" w:space="0" w:color="000000"/>
            </w:tcBorders>
            <w:shd w:val="clear" w:color="FFFFFF" w:fill="FFFFFF"/>
            <w:noWrap/>
            <w:vAlign w:val="bottom"/>
          </w:tcPr>
          <w:p w14:paraId="1F543FD8" w14:textId="52BF78C9" w:rsidR="00FF7099"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3.720,18</w:t>
            </w:r>
          </w:p>
        </w:tc>
        <w:tc>
          <w:tcPr>
            <w:tcW w:w="851" w:type="dxa"/>
            <w:tcBorders>
              <w:top w:val="nil"/>
              <w:left w:val="nil"/>
              <w:bottom w:val="single" w:sz="4" w:space="0" w:color="000000"/>
              <w:right w:val="single" w:sz="4" w:space="0" w:color="000000"/>
            </w:tcBorders>
            <w:shd w:val="clear" w:color="FFFFFF" w:fill="FFFFFF"/>
            <w:noWrap/>
            <w:vAlign w:val="bottom"/>
          </w:tcPr>
          <w:p w14:paraId="7E21FCA9" w14:textId="16898A91" w:rsidR="00FF7099"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4</w:t>
            </w:r>
          </w:p>
        </w:tc>
        <w:tc>
          <w:tcPr>
            <w:tcW w:w="1276" w:type="dxa"/>
            <w:tcBorders>
              <w:top w:val="nil"/>
              <w:left w:val="nil"/>
              <w:bottom w:val="single" w:sz="4" w:space="0" w:color="000000"/>
              <w:right w:val="single" w:sz="4" w:space="0" w:color="auto"/>
            </w:tcBorders>
            <w:shd w:val="clear" w:color="FFFFFF" w:fill="FFFFFF"/>
            <w:noWrap/>
            <w:vAlign w:val="bottom"/>
          </w:tcPr>
          <w:p w14:paraId="78E6DAA6" w14:textId="24FD8AC4" w:rsidR="00FF7099"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14.880,72</w:t>
            </w:r>
          </w:p>
        </w:tc>
      </w:tr>
      <w:tr w:rsidR="00883A1F" w:rsidRPr="005878FA" w14:paraId="7D5444CA"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2343B0BE" w14:textId="33712C34" w:rsidR="00883A1F" w:rsidRPr="005878FA" w:rsidRDefault="00883A1F" w:rsidP="00883A1F">
            <w:pPr>
              <w:rPr>
                <w:rFonts w:eastAsiaTheme="minorHAnsi" w:cs="Arial"/>
                <w:sz w:val="22"/>
                <w:szCs w:val="22"/>
                <w:lang w:eastAsia="en-US"/>
              </w:rPr>
            </w:pPr>
            <w:r w:rsidRPr="005878FA">
              <w:rPr>
                <w:rFonts w:eastAsiaTheme="minorHAnsi" w:cs="Arial"/>
                <w:sz w:val="22"/>
                <w:szCs w:val="22"/>
                <w:lang w:eastAsia="en-US"/>
              </w:rPr>
              <w:t>MICROCOMPUTADOR NOTEBOOK 08 GB I5, 14”</w:t>
            </w:r>
          </w:p>
        </w:tc>
        <w:tc>
          <w:tcPr>
            <w:tcW w:w="1275" w:type="dxa"/>
            <w:tcBorders>
              <w:top w:val="nil"/>
              <w:left w:val="nil"/>
              <w:bottom w:val="single" w:sz="4" w:space="0" w:color="000000"/>
              <w:right w:val="single" w:sz="4" w:space="0" w:color="000000"/>
            </w:tcBorders>
            <w:shd w:val="clear" w:color="FFFFFF" w:fill="FFFFFF"/>
            <w:noWrap/>
            <w:vAlign w:val="bottom"/>
          </w:tcPr>
          <w:p w14:paraId="76E03825" w14:textId="36740E08" w:rsidR="00883A1F"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431,90</w:t>
            </w:r>
          </w:p>
        </w:tc>
        <w:tc>
          <w:tcPr>
            <w:tcW w:w="851" w:type="dxa"/>
            <w:tcBorders>
              <w:top w:val="nil"/>
              <w:left w:val="nil"/>
              <w:bottom w:val="single" w:sz="4" w:space="0" w:color="000000"/>
              <w:right w:val="single" w:sz="4" w:space="0" w:color="000000"/>
            </w:tcBorders>
            <w:shd w:val="clear" w:color="FFFFFF" w:fill="FFFFFF"/>
            <w:noWrap/>
            <w:vAlign w:val="bottom"/>
          </w:tcPr>
          <w:p w14:paraId="12D6DC74" w14:textId="494FDDF9" w:rsidR="00883A1F"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57D40F1A" w14:textId="5817531F" w:rsidR="00883A1F"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431,90</w:t>
            </w:r>
          </w:p>
        </w:tc>
      </w:tr>
      <w:tr w:rsidR="00FF7099" w:rsidRPr="005878FA" w14:paraId="1E46A539"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D040FE5" w14:textId="4B4B05DB" w:rsidR="00FF7099" w:rsidRPr="005878FA" w:rsidRDefault="00FF7099" w:rsidP="00883A1F">
            <w:pPr>
              <w:rPr>
                <w:rFonts w:eastAsiaTheme="minorHAnsi" w:cs="Arial"/>
                <w:sz w:val="22"/>
                <w:szCs w:val="22"/>
                <w:lang w:eastAsia="en-US"/>
              </w:rPr>
            </w:pPr>
            <w:r w:rsidRPr="005878FA">
              <w:rPr>
                <w:rFonts w:eastAsiaTheme="minorHAnsi" w:cs="Arial"/>
                <w:sz w:val="22"/>
                <w:szCs w:val="22"/>
                <w:lang w:eastAsia="en-US"/>
              </w:rPr>
              <w:t>MICROCOMPUTADOR NOTEBOOK DELL 7390</w:t>
            </w:r>
          </w:p>
        </w:tc>
        <w:tc>
          <w:tcPr>
            <w:tcW w:w="1275" w:type="dxa"/>
            <w:tcBorders>
              <w:top w:val="nil"/>
              <w:left w:val="nil"/>
              <w:bottom w:val="single" w:sz="4" w:space="0" w:color="000000"/>
              <w:right w:val="single" w:sz="4" w:space="0" w:color="000000"/>
            </w:tcBorders>
            <w:shd w:val="clear" w:color="FFFFFF" w:fill="FFFFFF"/>
            <w:noWrap/>
            <w:vAlign w:val="bottom"/>
          </w:tcPr>
          <w:p w14:paraId="5FE2A539" w14:textId="72ECF76E" w:rsidR="00FF7099"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5.928,00</w:t>
            </w:r>
          </w:p>
        </w:tc>
        <w:tc>
          <w:tcPr>
            <w:tcW w:w="851" w:type="dxa"/>
            <w:tcBorders>
              <w:top w:val="nil"/>
              <w:left w:val="nil"/>
              <w:bottom w:val="single" w:sz="4" w:space="0" w:color="000000"/>
              <w:right w:val="single" w:sz="4" w:space="0" w:color="000000"/>
            </w:tcBorders>
            <w:shd w:val="clear" w:color="FFFFFF" w:fill="FFFFFF"/>
            <w:noWrap/>
            <w:vAlign w:val="bottom"/>
          </w:tcPr>
          <w:p w14:paraId="14E95E2A" w14:textId="07DD2137" w:rsidR="00FF7099"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57CE3EA8" w14:textId="092C79B2" w:rsidR="00FF7099"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5.928,00</w:t>
            </w:r>
          </w:p>
        </w:tc>
      </w:tr>
      <w:tr w:rsidR="001F1959" w:rsidRPr="005878FA" w14:paraId="64E45753"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EBD4498" w14:textId="23BB200D" w:rsidR="00A64D25" w:rsidRPr="005878FA" w:rsidRDefault="00883A1F" w:rsidP="00883A1F">
            <w:pPr>
              <w:rPr>
                <w:rFonts w:eastAsiaTheme="minorHAnsi" w:cs="Arial"/>
                <w:sz w:val="22"/>
                <w:szCs w:val="22"/>
                <w:lang w:eastAsia="en-US"/>
              </w:rPr>
            </w:pPr>
            <w:r w:rsidRPr="005878FA">
              <w:rPr>
                <w:rFonts w:eastAsiaTheme="minorHAnsi" w:cs="Arial"/>
                <w:sz w:val="22"/>
                <w:szCs w:val="22"/>
                <w:lang w:eastAsia="en-US"/>
              </w:rPr>
              <w:t>MONITOR DE VIDEO LCD 21"</w:t>
            </w:r>
          </w:p>
        </w:tc>
        <w:tc>
          <w:tcPr>
            <w:tcW w:w="1275" w:type="dxa"/>
            <w:tcBorders>
              <w:top w:val="nil"/>
              <w:left w:val="nil"/>
              <w:bottom w:val="single" w:sz="4" w:space="0" w:color="000000"/>
              <w:right w:val="single" w:sz="4" w:space="0" w:color="000000"/>
            </w:tcBorders>
            <w:shd w:val="clear" w:color="FFFFFF" w:fill="FFFFFF"/>
            <w:noWrap/>
            <w:vAlign w:val="bottom"/>
          </w:tcPr>
          <w:p w14:paraId="1DFD767A" w14:textId="65928948"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25,94</w:t>
            </w:r>
          </w:p>
        </w:tc>
        <w:tc>
          <w:tcPr>
            <w:tcW w:w="851" w:type="dxa"/>
            <w:tcBorders>
              <w:top w:val="nil"/>
              <w:left w:val="nil"/>
              <w:bottom w:val="single" w:sz="4" w:space="0" w:color="000000"/>
              <w:right w:val="single" w:sz="4" w:space="0" w:color="000000"/>
            </w:tcBorders>
            <w:shd w:val="clear" w:color="FFFFFF" w:fill="FFFFFF"/>
            <w:noWrap/>
            <w:vAlign w:val="bottom"/>
          </w:tcPr>
          <w:p w14:paraId="1FB6F872" w14:textId="4660AB0F"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7</w:t>
            </w:r>
          </w:p>
        </w:tc>
        <w:tc>
          <w:tcPr>
            <w:tcW w:w="1276" w:type="dxa"/>
            <w:tcBorders>
              <w:top w:val="nil"/>
              <w:left w:val="nil"/>
              <w:bottom w:val="single" w:sz="4" w:space="0" w:color="000000"/>
              <w:right w:val="single" w:sz="4" w:space="0" w:color="auto"/>
            </w:tcBorders>
            <w:shd w:val="clear" w:color="FFFFFF" w:fill="FFFFFF"/>
            <w:noWrap/>
            <w:vAlign w:val="bottom"/>
          </w:tcPr>
          <w:p w14:paraId="4965E3E3" w14:textId="32113CCC" w:rsidR="00A64D25"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181,58</w:t>
            </w:r>
          </w:p>
        </w:tc>
      </w:tr>
      <w:tr w:rsidR="00883A1F" w:rsidRPr="005878FA" w14:paraId="54524900"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9E4DE55" w14:textId="62DC7BA3" w:rsidR="00883A1F" w:rsidRPr="005878FA" w:rsidRDefault="00883A1F" w:rsidP="00A64D25">
            <w:pPr>
              <w:rPr>
                <w:rFonts w:eastAsiaTheme="minorHAnsi" w:cs="Arial"/>
                <w:sz w:val="22"/>
                <w:szCs w:val="22"/>
                <w:lang w:eastAsia="en-US"/>
              </w:rPr>
            </w:pPr>
            <w:r w:rsidRPr="005878FA">
              <w:rPr>
                <w:rFonts w:eastAsiaTheme="minorHAnsi" w:cs="Arial"/>
                <w:sz w:val="22"/>
                <w:szCs w:val="22"/>
                <w:lang w:eastAsia="en-US"/>
              </w:rPr>
              <w:t>MONITOR DE VIDEO LCD 21,5"</w:t>
            </w:r>
          </w:p>
        </w:tc>
        <w:tc>
          <w:tcPr>
            <w:tcW w:w="1275" w:type="dxa"/>
            <w:tcBorders>
              <w:top w:val="nil"/>
              <w:left w:val="nil"/>
              <w:bottom w:val="single" w:sz="4" w:space="0" w:color="000000"/>
              <w:right w:val="single" w:sz="4" w:space="0" w:color="000000"/>
            </w:tcBorders>
            <w:shd w:val="clear" w:color="FFFFFF" w:fill="FFFFFF"/>
            <w:noWrap/>
            <w:vAlign w:val="bottom"/>
          </w:tcPr>
          <w:p w14:paraId="2C3206B2" w14:textId="10122D58" w:rsidR="00883A1F"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71,74</w:t>
            </w:r>
          </w:p>
        </w:tc>
        <w:tc>
          <w:tcPr>
            <w:tcW w:w="851" w:type="dxa"/>
            <w:tcBorders>
              <w:top w:val="nil"/>
              <w:left w:val="nil"/>
              <w:bottom w:val="single" w:sz="4" w:space="0" w:color="000000"/>
              <w:right w:val="single" w:sz="4" w:space="0" w:color="000000"/>
            </w:tcBorders>
            <w:shd w:val="clear" w:color="FFFFFF" w:fill="FFFFFF"/>
            <w:noWrap/>
            <w:vAlign w:val="bottom"/>
          </w:tcPr>
          <w:p w14:paraId="1637ADC3" w14:textId="24624CA2" w:rsidR="00883A1F"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6</w:t>
            </w:r>
          </w:p>
        </w:tc>
        <w:tc>
          <w:tcPr>
            <w:tcW w:w="1276" w:type="dxa"/>
            <w:tcBorders>
              <w:top w:val="nil"/>
              <w:left w:val="nil"/>
              <w:bottom w:val="single" w:sz="4" w:space="0" w:color="000000"/>
              <w:right w:val="single" w:sz="4" w:space="0" w:color="auto"/>
            </w:tcBorders>
            <w:shd w:val="clear" w:color="FFFFFF" w:fill="FFFFFF"/>
            <w:noWrap/>
            <w:vAlign w:val="bottom"/>
          </w:tcPr>
          <w:p w14:paraId="7111D62C" w14:textId="72819E11" w:rsidR="00883A1F"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430,44</w:t>
            </w:r>
          </w:p>
        </w:tc>
      </w:tr>
      <w:tr w:rsidR="00A66034" w:rsidRPr="005878FA" w14:paraId="77755F1A"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344C867" w14:textId="39DB59F4" w:rsidR="00A66034" w:rsidRPr="005878FA" w:rsidRDefault="00A66034" w:rsidP="00A64D25">
            <w:pPr>
              <w:rPr>
                <w:rFonts w:eastAsiaTheme="minorHAnsi" w:cs="Arial"/>
                <w:sz w:val="22"/>
                <w:szCs w:val="22"/>
                <w:lang w:eastAsia="en-US"/>
              </w:rPr>
            </w:pPr>
            <w:r w:rsidRPr="005878FA">
              <w:rPr>
                <w:rFonts w:eastAsiaTheme="minorHAnsi" w:cs="Arial"/>
                <w:sz w:val="22"/>
                <w:szCs w:val="22"/>
                <w:lang w:eastAsia="en-US"/>
              </w:rPr>
              <w:t>MONITOR DE VIDEO LCD</w:t>
            </w:r>
          </w:p>
        </w:tc>
        <w:tc>
          <w:tcPr>
            <w:tcW w:w="1275" w:type="dxa"/>
            <w:tcBorders>
              <w:top w:val="nil"/>
              <w:left w:val="nil"/>
              <w:bottom w:val="single" w:sz="4" w:space="0" w:color="000000"/>
              <w:right w:val="single" w:sz="4" w:space="0" w:color="000000"/>
            </w:tcBorders>
            <w:shd w:val="clear" w:color="FFFFFF" w:fill="FFFFFF"/>
            <w:noWrap/>
            <w:vAlign w:val="bottom"/>
          </w:tcPr>
          <w:p w14:paraId="10C901F8" w14:textId="77321FE9"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314,42</w:t>
            </w:r>
          </w:p>
        </w:tc>
        <w:tc>
          <w:tcPr>
            <w:tcW w:w="851" w:type="dxa"/>
            <w:tcBorders>
              <w:top w:val="nil"/>
              <w:left w:val="nil"/>
              <w:bottom w:val="single" w:sz="4" w:space="0" w:color="000000"/>
              <w:right w:val="single" w:sz="4" w:space="0" w:color="000000"/>
            </w:tcBorders>
            <w:shd w:val="clear" w:color="FFFFFF" w:fill="FFFFFF"/>
            <w:noWrap/>
            <w:vAlign w:val="bottom"/>
          </w:tcPr>
          <w:p w14:paraId="0A5D45D0" w14:textId="58FF2BBF" w:rsidR="00A66034"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74BF150" w14:textId="0A5071A1" w:rsidR="00A66034"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314,42</w:t>
            </w:r>
          </w:p>
        </w:tc>
      </w:tr>
      <w:tr w:rsidR="00FF7099" w:rsidRPr="005878FA" w14:paraId="73A19829"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112AC89" w14:textId="1276D2D7" w:rsidR="00FF7099" w:rsidRPr="005878FA" w:rsidRDefault="00FF7099" w:rsidP="00A64D25">
            <w:pPr>
              <w:rPr>
                <w:rFonts w:eastAsiaTheme="minorHAnsi" w:cs="Arial"/>
                <w:sz w:val="22"/>
                <w:szCs w:val="22"/>
                <w:lang w:eastAsia="en-US"/>
              </w:rPr>
            </w:pPr>
            <w:r w:rsidRPr="005878FA">
              <w:rPr>
                <w:rFonts w:eastAsiaTheme="minorHAnsi" w:cs="Arial"/>
                <w:sz w:val="22"/>
                <w:szCs w:val="22"/>
                <w:lang w:eastAsia="en-US"/>
              </w:rPr>
              <w:t>MONITOR DE VIDEO 24"</w:t>
            </w:r>
          </w:p>
        </w:tc>
        <w:tc>
          <w:tcPr>
            <w:tcW w:w="1275" w:type="dxa"/>
            <w:tcBorders>
              <w:top w:val="nil"/>
              <w:left w:val="nil"/>
              <w:bottom w:val="single" w:sz="4" w:space="0" w:color="000000"/>
              <w:right w:val="single" w:sz="4" w:space="0" w:color="000000"/>
            </w:tcBorders>
            <w:shd w:val="clear" w:color="FFFFFF" w:fill="FFFFFF"/>
            <w:noWrap/>
            <w:vAlign w:val="bottom"/>
          </w:tcPr>
          <w:p w14:paraId="5471E0C1" w14:textId="71846185" w:rsidR="00FF7099"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584,60</w:t>
            </w:r>
          </w:p>
        </w:tc>
        <w:tc>
          <w:tcPr>
            <w:tcW w:w="851" w:type="dxa"/>
            <w:tcBorders>
              <w:top w:val="nil"/>
              <w:left w:val="nil"/>
              <w:bottom w:val="single" w:sz="4" w:space="0" w:color="000000"/>
              <w:right w:val="single" w:sz="4" w:space="0" w:color="000000"/>
            </w:tcBorders>
            <w:shd w:val="clear" w:color="FFFFFF" w:fill="FFFFFF"/>
            <w:noWrap/>
            <w:vAlign w:val="bottom"/>
          </w:tcPr>
          <w:p w14:paraId="2FC835EA" w14:textId="7E9E2838" w:rsidR="00FF7099"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8</w:t>
            </w:r>
          </w:p>
        </w:tc>
        <w:tc>
          <w:tcPr>
            <w:tcW w:w="1276" w:type="dxa"/>
            <w:tcBorders>
              <w:top w:val="nil"/>
              <w:left w:val="nil"/>
              <w:bottom w:val="single" w:sz="4" w:space="0" w:color="000000"/>
              <w:right w:val="single" w:sz="4" w:space="0" w:color="auto"/>
            </w:tcBorders>
            <w:shd w:val="clear" w:color="FFFFFF" w:fill="FFFFFF"/>
            <w:noWrap/>
            <w:vAlign w:val="bottom"/>
          </w:tcPr>
          <w:p w14:paraId="2EC917C4" w14:textId="71A923C5" w:rsidR="00FF7099"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4.676,8</w:t>
            </w:r>
          </w:p>
        </w:tc>
      </w:tr>
      <w:tr w:rsidR="001F1959" w:rsidRPr="005878FA" w14:paraId="5F34248F"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26F6FF85" w14:textId="74525D7A" w:rsidR="00A64D25" w:rsidRPr="005878FA" w:rsidRDefault="00883A1F" w:rsidP="00A64D25">
            <w:pPr>
              <w:rPr>
                <w:rFonts w:eastAsiaTheme="minorHAnsi" w:cs="Arial"/>
                <w:sz w:val="22"/>
                <w:szCs w:val="22"/>
                <w:lang w:eastAsia="en-US"/>
              </w:rPr>
            </w:pPr>
            <w:r w:rsidRPr="005878FA">
              <w:rPr>
                <w:rFonts w:eastAsiaTheme="minorHAnsi" w:cs="Arial"/>
                <w:sz w:val="22"/>
                <w:szCs w:val="22"/>
                <w:lang w:eastAsia="en-US"/>
              </w:rPr>
              <w:t>EQUIPAMENTO VIDEOCONFERENCIA</w:t>
            </w:r>
          </w:p>
        </w:tc>
        <w:tc>
          <w:tcPr>
            <w:tcW w:w="1275" w:type="dxa"/>
            <w:tcBorders>
              <w:top w:val="nil"/>
              <w:left w:val="nil"/>
              <w:bottom w:val="single" w:sz="4" w:space="0" w:color="000000"/>
              <w:right w:val="single" w:sz="4" w:space="0" w:color="000000"/>
            </w:tcBorders>
            <w:shd w:val="clear" w:color="FFFFFF" w:fill="FFFFFF"/>
            <w:noWrap/>
            <w:vAlign w:val="bottom"/>
          </w:tcPr>
          <w:p w14:paraId="6CB54829" w14:textId="670CCA03"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1.062,54</w:t>
            </w:r>
          </w:p>
        </w:tc>
        <w:tc>
          <w:tcPr>
            <w:tcW w:w="851" w:type="dxa"/>
            <w:tcBorders>
              <w:top w:val="nil"/>
              <w:left w:val="nil"/>
              <w:bottom w:val="single" w:sz="4" w:space="0" w:color="000000"/>
              <w:right w:val="single" w:sz="4" w:space="0" w:color="000000"/>
            </w:tcBorders>
            <w:shd w:val="clear" w:color="FFFFFF" w:fill="FFFFFF"/>
            <w:noWrap/>
            <w:vAlign w:val="bottom"/>
          </w:tcPr>
          <w:p w14:paraId="019E4B9A" w14:textId="70AED151"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0C70C6B" w14:textId="4448A05E"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1.062,54</w:t>
            </w:r>
          </w:p>
        </w:tc>
      </w:tr>
      <w:tr w:rsidR="001F1959" w:rsidRPr="005878FA" w14:paraId="3C29C064"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6E6B766C" w14:textId="62457442" w:rsidR="00A64D25" w:rsidRPr="005878FA" w:rsidRDefault="00883A1F" w:rsidP="00A66034">
            <w:pPr>
              <w:rPr>
                <w:rFonts w:eastAsiaTheme="minorHAnsi" w:cs="Arial"/>
                <w:sz w:val="22"/>
                <w:szCs w:val="22"/>
                <w:lang w:eastAsia="en-US"/>
              </w:rPr>
            </w:pPr>
            <w:r w:rsidRPr="005878FA">
              <w:rPr>
                <w:rFonts w:eastAsiaTheme="minorHAnsi" w:cs="Arial"/>
                <w:sz w:val="22"/>
                <w:szCs w:val="22"/>
                <w:lang w:eastAsia="en-US"/>
              </w:rPr>
              <w:t>TELEVISOR 42</w:t>
            </w:r>
            <w:r w:rsidR="00A66034" w:rsidRPr="005878FA">
              <w:rPr>
                <w:rFonts w:eastAsiaTheme="minorHAnsi" w:cs="Arial"/>
                <w:sz w:val="22"/>
                <w:szCs w:val="22"/>
                <w:lang w:eastAsia="en-US"/>
              </w:rPr>
              <w:t>”</w:t>
            </w:r>
            <w:r w:rsidRPr="005878FA">
              <w:rPr>
                <w:rFonts w:eastAsiaTheme="minorHAnsi" w:cs="Arial"/>
                <w:sz w:val="22"/>
                <w:szCs w:val="22"/>
                <w:lang w:eastAsia="en-US"/>
              </w:rPr>
              <w:t xml:space="preserve"> PLANA</w:t>
            </w:r>
          </w:p>
        </w:tc>
        <w:tc>
          <w:tcPr>
            <w:tcW w:w="1275" w:type="dxa"/>
            <w:tcBorders>
              <w:top w:val="nil"/>
              <w:left w:val="nil"/>
              <w:bottom w:val="single" w:sz="4" w:space="0" w:color="000000"/>
              <w:right w:val="single" w:sz="4" w:space="0" w:color="000000"/>
            </w:tcBorders>
            <w:shd w:val="clear" w:color="FFFFFF" w:fill="FFFFFF"/>
            <w:noWrap/>
            <w:vAlign w:val="bottom"/>
          </w:tcPr>
          <w:p w14:paraId="2BAB081E" w14:textId="09D0FBDF"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416,29</w:t>
            </w:r>
          </w:p>
        </w:tc>
        <w:tc>
          <w:tcPr>
            <w:tcW w:w="851" w:type="dxa"/>
            <w:tcBorders>
              <w:top w:val="nil"/>
              <w:left w:val="nil"/>
              <w:bottom w:val="single" w:sz="4" w:space="0" w:color="000000"/>
              <w:right w:val="single" w:sz="4" w:space="0" w:color="000000"/>
            </w:tcBorders>
            <w:shd w:val="clear" w:color="FFFFFF" w:fill="FFFFFF"/>
            <w:noWrap/>
            <w:vAlign w:val="bottom"/>
          </w:tcPr>
          <w:p w14:paraId="5B633C8A" w14:textId="315B4971"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09166B94" w14:textId="70D074E4" w:rsidR="00A64D25" w:rsidRPr="005878FA" w:rsidRDefault="00883A1F" w:rsidP="00A64D25">
            <w:pPr>
              <w:jc w:val="center"/>
              <w:rPr>
                <w:rFonts w:eastAsiaTheme="minorHAnsi" w:cs="Arial"/>
                <w:sz w:val="22"/>
                <w:szCs w:val="22"/>
                <w:lang w:eastAsia="en-US"/>
              </w:rPr>
            </w:pPr>
            <w:r w:rsidRPr="005878FA">
              <w:rPr>
                <w:rFonts w:eastAsiaTheme="minorHAnsi" w:cs="Arial"/>
                <w:sz w:val="22"/>
                <w:szCs w:val="22"/>
                <w:lang w:eastAsia="en-US"/>
              </w:rPr>
              <w:t>416,29</w:t>
            </w:r>
          </w:p>
        </w:tc>
      </w:tr>
      <w:tr w:rsidR="001F1959" w:rsidRPr="005878FA" w14:paraId="3220FC38"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28C69BF0" w14:textId="195458F0" w:rsidR="00A64D25" w:rsidRPr="005878FA" w:rsidRDefault="00A66034" w:rsidP="00A64D25">
            <w:pPr>
              <w:rPr>
                <w:rFonts w:eastAsiaTheme="minorHAnsi" w:cs="Arial"/>
                <w:sz w:val="22"/>
                <w:szCs w:val="22"/>
                <w:lang w:eastAsia="en-US"/>
              </w:rPr>
            </w:pPr>
            <w:r w:rsidRPr="005878FA">
              <w:rPr>
                <w:rFonts w:eastAsiaTheme="minorHAnsi" w:cs="Arial"/>
                <w:sz w:val="22"/>
                <w:szCs w:val="22"/>
                <w:lang w:eastAsia="en-US"/>
              </w:rPr>
              <w:t>TELEVISOR SMART 43” LED</w:t>
            </w:r>
          </w:p>
        </w:tc>
        <w:tc>
          <w:tcPr>
            <w:tcW w:w="1275" w:type="dxa"/>
            <w:tcBorders>
              <w:top w:val="nil"/>
              <w:left w:val="nil"/>
              <w:bottom w:val="single" w:sz="4" w:space="0" w:color="000000"/>
              <w:right w:val="single" w:sz="4" w:space="0" w:color="000000"/>
            </w:tcBorders>
            <w:shd w:val="clear" w:color="FFFFFF" w:fill="FFFFFF"/>
            <w:noWrap/>
            <w:vAlign w:val="bottom"/>
          </w:tcPr>
          <w:p w14:paraId="66591755" w14:textId="34672B5C"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1.369,17</w:t>
            </w:r>
          </w:p>
        </w:tc>
        <w:tc>
          <w:tcPr>
            <w:tcW w:w="851" w:type="dxa"/>
            <w:tcBorders>
              <w:top w:val="nil"/>
              <w:left w:val="nil"/>
              <w:bottom w:val="single" w:sz="4" w:space="0" w:color="000000"/>
              <w:right w:val="single" w:sz="4" w:space="0" w:color="000000"/>
            </w:tcBorders>
            <w:shd w:val="clear" w:color="FFFFFF" w:fill="FFFFFF"/>
            <w:noWrap/>
            <w:vAlign w:val="bottom"/>
          </w:tcPr>
          <w:p w14:paraId="02E10D38" w14:textId="74F73B84"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0EC4E20E" w14:textId="7EADC6C3"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1.369,17</w:t>
            </w:r>
          </w:p>
        </w:tc>
      </w:tr>
      <w:tr w:rsidR="001F1959" w:rsidRPr="005878FA" w14:paraId="6356F68F"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678C59D" w14:textId="03639492" w:rsidR="00A64D25" w:rsidRPr="005878FA" w:rsidRDefault="00A66034" w:rsidP="00A64D25">
            <w:pPr>
              <w:rPr>
                <w:rFonts w:eastAsiaTheme="minorHAnsi" w:cs="Arial"/>
                <w:sz w:val="22"/>
                <w:szCs w:val="22"/>
                <w:lang w:eastAsia="en-US"/>
              </w:rPr>
            </w:pPr>
            <w:r w:rsidRPr="005878FA">
              <w:rPr>
                <w:rFonts w:eastAsiaTheme="minorHAnsi" w:cs="Arial"/>
                <w:sz w:val="22"/>
                <w:szCs w:val="22"/>
                <w:lang w:eastAsia="en-US"/>
              </w:rPr>
              <w:t>CAMERA VIDEO WEBCAM</w:t>
            </w:r>
          </w:p>
        </w:tc>
        <w:tc>
          <w:tcPr>
            <w:tcW w:w="1275" w:type="dxa"/>
            <w:tcBorders>
              <w:top w:val="nil"/>
              <w:left w:val="nil"/>
              <w:bottom w:val="single" w:sz="4" w:space="0" w:color="000000"/>
              <w:right w:val="single" w:sz="4" w:space="0" w:color="000000"/>
            </w:tcBorders>
            <w:shd w:val="clear" w:color="FFFFFF" w:fill="FFFFFF"/>
            <w:noWrap/>
            <w:vAlign w:val="bottom"/>
          </w:tcPr>
          <w:p w14:paraId="5241E6A2" w14:textId="3BDD7CDE"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70,85</w:t>
            </w:r>
          </w:p>
        </w:tc>
        <w:tc>
          <w:tcPr>
            <w:tcW w:w="851" w:type="dxa"/>
            <w:tcBorders>
              <w:top w:val="nil"/>
              <w:left w:val="nil"/>
              <w:bottom w:val="single" w:sz="4" w:space="0" w:color="000000"/>
              <w:right w:val="single" w:sz="4" w:space="0" w:color="000000"/>
            </w:tcBorders>
            <w:shd w:val="clear" w:color="FFFFFF" w:fill="FFFFFF"/>
            <w:noWrap/>
            <w:vAlign w:val="bottom"/>
          </w:tcPr>
          <w:p w14:paraId="4539C372" w14:textId="3B0C2C23"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540BCA26" w14:textId="174CD345" w:rsidR="00A64D25"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70,85</w:t>
            </w:r>
          </w:p>
        </w:tc>
      </w:tr>
      <w:tr w:rsidR="001F1959" w:rsidRPr="005878FA" w14:paraId="3E0A3CA0"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A3DB53A" w14:textId="40E3EFD2" w:rsidR="00A64D25" w:rsidRPr="005878FA" w:rsidRDefault="00A66034" w:rsidP="00A64D25">
            <w:pPr>
              <w:rPr>
                <w:rFonts w:eastAsiaTheme="minorHAnsi" w:cs="Arial"/>
                <w:sz w:val="22"/>
                <w:szCs w:val="22"/>
                <w:lang w:eastAsia="en-US"/>
              </w:rPr>
            </w:pPr>
            <w:r w:rsidRPr="005878FA">
              <w:rPr>
                <w:rFonts w:eastAsiaTheme="minorHAnsi" w:cs="Arial"/>
                <w:sz w:val="22"/>
                <w:szCs w:val="22"/>
                <w:lang w:eastAsia="en-US"/>
              </w:rPr>
              <w:t>HD INTERNO 1 TB</w:t>
            </w:r>
          </w:p>
        </w:tc>
        <w:tc>
          <w:tcPr>
            <w:tcW w:w="1275" w:type="dxa"/>
            <w:tcBorders>
              <w:top w:val="nil"/>
              <w:left w:val="nil"/>
              <w:bottom w:val="single" w:sz="4" w:space="0" w:color="000000"/>
              <w:right w:val="single" w:sz="4" w:space="0" w:color="000000"/>
            </w:tcBorders>
            <w:shd w:val="clear" w:color="FFFFFF" w:fill="FFFFFF"/>
            <w:noWrap/>
            <w:vAlign w:val="bottom"/>
          </w:tcPr>
          <w:p w14:paraId="4C5E2D6A" w14:textId="2BB604A8"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128,64</w:t>
            </w:r>
          </w:p>
        </w:tc>
        <w:tc>
          <w:tcPr>
            <w:tcW w:w="851" w:type="dxa"/>
            <w:tcBorders>
              <w:top w:val="nil"/>
              <w:left w:val="nil"/>
              <w:bottom w:val="single" w:sz="4" w:space="0" w:color="000000"/>
              <w:right w:val="single" w:sz="4" w:space="0" w:color="000000"/>
            </w:tcBorders>
            <w:shd w:val="clear" w:color="FFFFFF" w:fill="FFFFFF"/>
            <w:noWrap/>
            <w:vAlign w:val="bottom"/>
          </w:tcPr>
          <w:p w14:paraId="54010FF3" w14:textId="00DD6C1D"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4</w:t>
            </w:r>
          </w:p>
        </w:tc>
        <w:tc>
          <w:tcPr>
            <w:tcW w:w="1276" w:type="dxa"/>
            <w:tcBorders>
              <w:top w:val="nil"/>
              <w:left w:val="nil"/>
              <w:bottom w:val="single" w:sz="4" w:space="0" w:color="000000"/>
              <w:right w:val="single" w:sz="4" w:space="0" w:color="auto"/>
            </w:tcBorders>
            <w:shd w:val="clear" w:color="FFFFFF" w:fill="FFFFFF"/>
            <w:noWrap/>
            <w:vAlign w:val="bottom"/>
          </w:tcPr>
          <w:p w14:paraId="47CDD251" w14:textId="5D937B1E" w:rsidR="00A64D25" w:rsidRPr="005878FA" w:rsidRDefault="00FA1E5C" w:rsidP="00A64D25">
            <w:pPr>
              <w:jc w:val="center"/>
              <w:rPr>
                <w:rFonts w:eastAsiaTheme="minorHAnsi" w:cs="Arial"/>
                <w:sz w:val="22"/>
                <w:szCs w:val="22"/>
                <w:lang w:eastAsia="en-US"/>
              </w:rPr>
            </w:pPr>
            <w:r w:rsidRPr="005878FA">
              <w:rPr>
                <w:rFonts w:eastAsiaTheme="minorHAnsi" w:cs="Arial"/>
                <w:sz w:val="22"/>
                <w:szCs w:val="22"/>
                <w:lang w:eastAsia="en-US"/>
              </w:rPr>
              <w:t>514,56</w:t>
            </w:r>
          </w:p>
        </w:tc>
      </w:tr>
      <w:tr w:rsidR="001F1959" w:rsidRPr="005878FA" w14:paraId="64BA81FC"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29C49FBE" w14:textId="31EE679D" w:rsidR="00A64D25" w:rsidRPr="005878FA" w:rsidRDefault="00A66034" w:rsidP="00A64D25">
            <w:pPr>
              <w:rPr>
                <w:rFonts w:eastAsiaTheme="minorHAnsi" w:cs="Arial"/>
                <w:sz w:val="22"/>
                <w:szCs w:val="22"/>
                <w:lang w:eastAsia="en-US"/>
              </w:rPr>
            </w:pPr>
            <w:r w:rsidRPr="005878FA">
              <w:rPr>
                <w:rFonts w:eastAsiaTheme="minorHAnsi" w:cs="Arial"/>
                <w:sz w:val="22"/>
                <w:szCs w:val="22"/>
                <w:lang w:eastAsia="en-US"/>
              </w:rPr>
              <w:t>FORNO MICRO ONDAS 20 LITROS</w:t>
            </w:r>
          </w:p>
        </w:tc>
        <w:tc>
          <w:tcPr>
            <w:tcW w:w="1275" w:type="dxa"/>
            <w:tcBorders>
              <w:top w:val="nil"/>
              <w:left w:val="nil"/>
              <w:bottom w:val="single" w:sz="4" w:space="0" w:color="000000"/>
              <w:right w:val="single" w:sz="4" w:space="0" w:color="000000"/>
            </w:tcBorders>
            <w:shd w:val="clear" w:color="FFFFFF" w:fill="FFFFFF"/>
            <w:noWrap/>
            <w:vAlign w:val="bottom"/>
          </w:tcPr>
          <w:p w14:paraId="7730F8CA" w14:textId="1DF4FD91"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279,12</w:t>
            </w:r>
          </w:p>
        </w:tc>
        <w:tc>
          <w:tcPr>
            <w:tcW w:w="851" w:type="dxa"/>
            <w:tcBorders>
              <w:top w:val="nil"/>
              <w:left w:val="nil"/>
              <w:bottom w:val="single" w:sz="4" w:space="0" w:color="000000"/>
              <w:right w:val="single" w:sz="4" w:space="0" w:color="000000"/>
            </w:tcBorders>
            <w:shd w:val="clear" w:color="FFFFFF" w:fill="FFFFFF"/>
            <w:noWrap/>
            <w:vAlign w:val="bottom"/>
          </w:tcPr>
          <w:p w14:paraId="2CC54323" w14:textId="5AB076B2"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26AD62F8" w14:textId="123E3C15" w:rsidR="00A64D25" w:rsidRPr="005878FA" w:rsidRDefault="00A66034" w:rsidP="00A64D25">
            <w:pPr>
              <w:jc w:val="center"/>
              <w:rPr>
                <w:rFonts w:eastAsiaTheme="minorHAnsi" w:cs="Arial"/>
                <w:sz w:val="22"/>
                <w:szCs w:val="22"/>
                <w:lang w:eastAsia="en-US"/>
              </w:rPr>
            </w:pPr>
            <w:r w:rsidRPr="005878FA">
              <w:rPr>
                <w:rFonts w:eastAsiaTheme="minorHAnsi" w:cs="Arial"/>
                <w:sz w:val="22"/>
                <w:szCs w:val="22"/>
                <w:lang w:eastAsia="en-US"/>
              </w:rPr>
              <w:t>279,12</w:t>
            </w:r>
          </w:p>
        </w:tc>
      </w:tr>
      <w:tr w:rsidR="00A66034" w:rsidRPr="005878FA" w14:paraId="168D1AC9"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629AB348" w14:textId="6D5C4EDD" w:rsidR="00A66034" w:rsidRPr="005878FA" w:rsidRDefault="00A66034" w:rsidP="00A64D25">
            <w:pPr>
              <w:rPr>
                <w:rFonts w:eastAsiaTheme="minorHAnsi" w:cs="Arial"/>
                <w:sz w:val="22"/>
                <w:szCs w:val="22"/>
                <w:lang w:eastAsia="en-US"/>
              </w:rPr>
            </w:pPr>
            <w:r w:rsidRPr="005878FA">
              <w:rPr>
                <w:rFonts w:eastAsiaTheme="minorHAnsi" w:cs="Arial"/>
                <w:sz w:val="22"/>
                <w:szCs w:val="22"/>
                <w:lang w:eastAsia="en-US"/>
              </w:rPr>
              <w:t>DOCA DE EXPANSAO BIVOLT DOCA PARA NOTEBOOK</w:t>
            </w:r>
          </w:p>
        </w:tc>
        <w:tc>
          <w:tcPr>
            <w:tcW w:w="1275" w:type="dxa"/>
            <w:tcBorders>
              <w:top w:val="nil"/>
              <w:left w:val="nil"/>
              <w:bottom w:val="single" w:sz="4" w:space="0" w:color="000000"/>
              <w:right w:val="single" w:sz="4" w:space="0" w:color="000000"/>
            </w:tcBorders>
            <w:shd w:val="clear" w:color="FFFFFF" w:fill="FFFFFF"/>
            <w:noWrap/>
            <w:vAlign w:val="bottom"/>
          </w:tcPr>
          <w:p w14:paraId="63DCAB11" w14:textId="09FA04E8" w:rsidR="00A66034"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713,72</w:t>
            </w:r>
          </w:p>
        </w:tc>
        <w:tc>
          <w:tcPr>
            <w:tcW w:w="851" w:type="dxa"/>
            <w:tcBorders>
              <w:top w:val="nil"/>
              <w:left w:val="nil"/>
              <w:bottom w:val="single" w:sz="4" w:space="0" w:color="000000"/>
              <w:right w:val="single" w:sz="4" w:space="0" w:color="000000"/>
            </w:tcBorders>
            <w:shd w:val="clear" w:color="FFFFFF" w:fill="FFFFFF"/>
            <w:noWrap/>
            <w:vAlign w:val="bottom"/>
          </w:tcPr>
          <w:p w14:paraId="239BAA2E" w14:textId="579AFD10" w:rsidR="00A66034"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25DC7BFB" w14:textId="3D0AD1B0" w:rsidR="00A66034" w:rsidRPr="005878FA" w:rsidRDefault="00FF7099" w:rsidP="00A64D25">
            <w:pPr>
              <w:jc w:val="center"/>
              <w:rPr>
                <w:rFonts w:eastAsiaTheme="minorHAnsi" w:cs="Arial"/>
                <w:sz w:val="22"/>
                <w:szCs w:val="22"/>
                <w:lang w:eastAsia="en-US"/>
              </w:rPr>
            </w:pPr>
            <w:r w:rsidRPr="005878FA">
              <w:rPr>
                <w:rFonts w:eastAsiaTheme="minorHAnsi" w:cs="Arial"/>
                <w:sz w:val="22"/>
                <w:szCs w:val="22"/>
                <w:lang w:eastAsia="en-US"/>
              </w:rPr>
              <w:t>713,72</w:t>
            </w:r>
          </w:p>
        </w:tc>
      </w:tr>
      <w:tr w:rsidR="00A66034" w:rsidRPr="005878FA" w14:paraId="799B6608"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81D5C98" w14:textId="2B2D9D78" w:rsidR="00A66034" w:rsidRPr="005878FA" w:rsidRDefault="006673F4" w:rsidP="00A64D25">
            <w:pPr>
              <w:rPr>
                <w:rFonts w:eastAsiaTheme="minorHAnsi" w:cs="Arial"/>
                <w:sz w:val="22"/>
                <w:szCs w:val="22"/>
                <w:lang w:eastAsia="en-US"/>
              </w:rPr>
            </w:pPr>
            <w:r w:rsidRPr="005878FA">
              <w:rPr>
                <w:rFonts w:eastAsiaTheme="minorHAnsi" w:cs="Arial"/>
                <w:sz w:val="22"/>
                <w:szCs w:val="22"/>
                <w:lang w:eastAsia="en-US"/>
              </w:rPr>
              <w:t>CAIXAS COM PROCESSOS</w:t>
            </w:r>
          </w:p>
        </w:tc>
        <w:tc>
          <w:tcPr>
            <w:tcW w:w="1275" w:type="dxa"/>
            <w:tcBorders>
              <w:top w:val="nil"/>
              <w:left w:val="nil"/>
              <w:bottom w:val="single" w:sz="4" w:space="0" w:color="000000"/>
              <w:right w:val="single" w:sz="4" w:space="0" w:color="000000"/>
            </w:tcBorders>
            <w:shd w:val="clear" w:color="FFFFFF" w:fill="FFFFFF"/>
            <w:noWrap/>
            <w:vAlign w:val="bottom"/>
          </w:tcPr>
          <w:p w14:paraId="797607A9" w14:textId="30DE3F22" w:rsidR="00A66034"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5,00</w:t>
            </w:r>
          </w:p>
        </w:tc>
        <w:tc>
          <w:tcPr>
            <w:tcW w:w="851" w:type="dxa"/>
            <w:tcBorders>
              <w:top w:val="nil"/>
              <w:left w:val="nil"/>
              <w:bottom w:val="single" w:sz="4" w:space="0" w:color="000000"/>
              <w:right w:val="single" w:sz="4" w:space="0" w:color="000000"/>
            </w:tcBorders>
            <w:shd w:val="clear" w:color="FFFFFF" w:fill="FFFFFF"/>
            <w:noWrap/>
            <w:vAlign w:val="bottom"/>
          </w:tcPr>
          <w:p w14:paraId="4010D36F" w14:textId="5CA8E459" w:rsidR="00A66034"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9</w:t>
            </w:r>
          </w:p>
        </w:tc>
        <w:tc>
          <w:tcPr>
            <w:tcW w:w="1276" w:type="dxa"/>
            <w:tcBorders>
              <w:top w:val="nil"/>
              <w:left w:val="nil"/>
              <w:bottom w:val="single" w:sz="4" w:space="0" w:color="000000"/>
              <w:right w:val="single" w:sz="4" w:space="0" w:color="auto"/>
            </w:tcBorders>
            <w:shd w:val="clear" w:color="FFFFFF" w:fill="FFFFFF"/>
            <w:noWrap/>
            <w:vAlign w:val="bottom"/>
          </w:tcPr>
          <w:p w14:paraId="608C18AC" w14:textId="0E9E8971" w:rsidR="00A66034"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45</w:t>
            </w:r>
          </w:p>
        </w:tc>
      </w:tr>
      <w:tr w:rsidR="00A66034" w:rsidRPr="005878FA" w14:paraId="66D9D1ED"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9A64228" w14:textId="6F06D3C9" w:rsidR="00A66034" w:rsidRPr="005878FA" w:rsidRDefault="006673F4" w:rsidP="00A64D25">
            <w:pPr>
              <w:rPr>
                <w:rFonts w:eastAsiaTheme="minorHAnsi" w:cs="Arial"/>
                <w:sz w:val="22"/>
                <w:szCs w:val="22"/>
                <w:lang w:eastAsia="en-US"/>
              </w:rPr>
            </w:pPr>
            <w:r w:rsidRPr="005878FA">
              <w:rPr>
                <w:rFonts w:eastAsiaTheme="minorHAnsi" w:cs="Arial"/>
                <w:sz w:val="22"/>
                <w:szCs w:val="22"/>
                <w:lang w:eastAsia="en-US"/>
              </w:rPr>
              <w:t>PASTA AZ</w:t>
            </w:r>
          </w:p>
        </w:tc>
        <w:tc>
          <w:tcPr>
            <w:tcW w:w="1275" w:type="dxa"/>
            <w:tcBorders>
              <w:top w:val="nil"/>
              <w:left w:val="nil"/>
              <w:bottom w:val="single" w:sz="4" w:space="0" w:color="000000"/>
              <w:right w:val="single" w:sz="4" w:space="0" w:color="000000"/>
            </w:tcBorders>
            <w:shd w:val="clear" w:color="FFFFFF" w:fill="FFFFFF"/>
            <w:noWrap/>
            <w:vAlign w:val="bottom"/>
          </w:tcPr>
          <w:p w14:paraId="5A44DF1B" w14:textId="3F25BEA3" w:rsidR="00A66034"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15,00</w:t>
            </w:r>
          </w:p>
        </w:tc>
        <w:tc>
          <w:tcPr>
            <w:tcW w:w="851" w:type="dxa"/>
            <w:tcBorders>
              <w:top w:val="nil"/>
              <w:left w:val="nil"/>
              <w:bottom w:val="single" w:sz="4" w:space="0" w:color="000000"/>
              <w:right w:val="single" w:sz="4" w:space="0" w:color="000000"/>
            </w:tcBorders>
            <w:shd w:val="clear" w:color="FFFFFF" w:fill="FFFFFF"/>
            <w:noWrap/>
            <w:vAlign w:val="bottom"/>
          </w:tcPr>
          <w:p w14:paraId="1F300233" w14:textId="0062EE27" w:rsidR="00A66034" w:rsidRPr="005878FA" w:rsidRDefault="006673F4" w:rsidP="00A64D25">
            <w:pPr>
              <w:jc w:val="center"/>
              <w:rPr>
                <w:rFonts w:eastAsiaTheme="minorHAnsi" w:cs="Arial"/>
                <w:sz w:val="22"/>
                <w:szCs w:val="22"/>
                <w:lang w:eastAsia="en-US"/>
              </w:rPr>
            </w:pPr>
            <w:r w:rsidRPr="005878FA">
              <w:rPr>
                <w:rFonts w:eastAsiaTheme="minorHAnsi" w:cs="Arial"/>
                <w:sz w:val="22"/>
                <w:szCs w:val="22"/>
                <w:lang w:eastAsia="en-US"/>
              </w:rPr>
              <w:t>10</w:t>
            </w:r>
          </w:p>
        </w:tc>
        <w:tc>
          <w:tcPr>
            <w:tcW w:w="1276" w:type="dxa"/>
            <w:tcBorders>
              <w:top w:val="nil"/>
              <w:left w:val="nil"/>
              <w:bottom w:val="single" w:sz="4" w:space="0" w:color="000000"/>
              <w:right w:val="single" w:sz="4" w:space="0" w:color="auto"/>
            </w:tcBorders>
            <w:shd w:val="clear" w:color="FFFFFF" w:fill="FFFFFF"/>
            <w:noWrap/>
            <w:vAlign w:val="bottom"/>
          </w:tcPr>
          <w:p w14:paraId="0FD12DE1" w14:textId="69B4C787" w:rsidR="00A66034"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150,00</w:t>
            </w:r>
          </w:p>
        </w:tc>
      </w:tr>
      <w:tr w:rsidR="00A66034" w:rsidRPr="005878FA" w14:paraId="2BAFF688"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68AD3CE" w14:textId="0628A8E0" w:rsidR="00A66034" w:rsidRPr="005878FA" w:rsidRDefault="006673F4" w:rsidP="00A64D25">
            <w:pPr>
              <w:rPr>
                <w:rFonts w:eastAsiaTheme="minorHAnsi" w:cs="Arial"/>
                <w:sz w:val="22"/>
                <w:szCs w:val="22"/>
                <w:lang w:eastAsia="en-US"/>
              </w:rPr>
            </w:pPr>
            <w:r w:rsidRPr="005878FA">
              <w:rPr>
                <w:rFonts w:eastAsiaTheme="minorHAnsi" w:cs="Arial"/>
                <w:sz w:val="22"/>
                <w:szCs w:val="22"/>
                <w:lang w:eastAsia="en-US"/>
              </w:rPr>
              <w:t>PASTA ELÉTRON</w:t>
            </w:r>
          </w:p>
        </w:tc>
        <w:tc>
          <w:tcPr>
            <w:tcW w:w="1275" w:type="dxa"/>
            <w:tcBorders>
              <w:top w:val="nil"/>
              <w:left w:val="nil"/>
              <w:bottom w:val="single" w:sz="4" w:space="0" w:color="000000"/>
              <w:right w:val="single" w:sz="4" w:space="0" w:color="000000"/>
            </w:tcBorders>
            <w:shd w:val="clear" w:color="FFFFFF" w:fill="FFFFFF"/>
            <w:noWrap/>
            <w:vAlign w:val="bottom"/>
          </w:tcPr>
          <w:p w14:paraId="66EC3DE1" w14:textId="186079F8" w:rsidR="00A66034"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12,00</w:t>
            </w:r>
          </w:p>
        </w:tc>
        <w:tc>
          <w:tcPr>
            <w:tcW w:w="851" w:type="dxa"/>
            <w:tcBorders>
              <w:top w:val="nil"/>
              <w:left w:val="nil"/>
              <w:bottom w:val="single" w:sz="4" w:space="0" w:color="000000"/>
              <w:right w:val="single" w:sz="4" w:space="0" w:color="000000"/>
            </w:tcBorders>
            <w:shd w:val="clear" w:color="FFFFFF" w:fill="FFFFFF"/>
            <w:noWrap/>
            <w:vAlign w:val="bottom"/>
          </w:tcPr>
          <w:p w14:paraId="100EDBD9" w14:textId="09280E78" w:rsidR="00A66034" w:rsidRPr="005878FA" w:rsidRDefault="006673F4" w:rsidP="00A64D25">
            <w:pPr>
              <w:jc w:val="center"/>
              <w:rPr>
                <w:rFonts w:eastAsiaTheme="minorHAnsi" w:cs="Arial"/>
                <w:sz w:val="22"/>
                <w:szCs w:val="22"/>
                <w:lang w:eastAsia="en-US"/>
              </w:rPr>
            </w:pPr>
            <w:r w:rsidRPr="005878FA">
              <w:rPr>
                <w:rFonts w:eastAsiaTheme="minorHAnsi" w:cs="Arial"/>
                <w:sz w:val="22"/>
                <w:szCs w:val="22"/>
                <w:lang w:eastAsia="en-US"/>
              </w:rPr>
              <w:t>30</w:t>
            </w:r>
          </w:p>
        </w:tc>
        <w:tc>
          <w:tcPr>
            <w:tcW w:w="1276" w:type="dxa"/>
            <w:tcBorders>
              <w:top w:val="nil"/>
              <w:left w:val="nil"/>
              <w:bottom w:val="single" w:sz="4" w:space="0" w:color="000000"/>
              <w:right w:val="single" w:sz="4" w:space="0" w:color="auto"/>
            </w:tcBorders>
            <w:shd w:val="clear" w:color="FFFFFF" w:fill="FFFFFF"/>
            <w:noWrap/>
            <w:vAlign w:val="bottom"/>
          </w:tcPr>
          <w:p w14:paraId="2514D805" w14:textId="5D904997" w:rsidR="00A66034"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360,00</w:t>
            </w:r>
          </w:p>
        </w:tc>
      </w:tr>
      <w:tr w:rsidR="00A66034" w:rsidRPr="005878FA" w14:paraId="63E91168"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8919A86" w14:textId="5325440D" w:rsidR="00A66034" w:rsidRPr="005878FA" w:rsidRDefault="006673F4" w:rsidP="00A64D25">
            <w:pPr>
              <w:rPr>
                <w:rFonts w:eastAsiaTheme="minorHAnsi" w:cs="Arial"/>
                <w:sz w:val="22"/>
                <w:szCs w:val="22"/>
                <w:lang w:eastAsia="en-US"/>
              </w:rPr>
            </w:pPr>
            <w:r w:rsidRPr="005878FA">
              <w:rPr>
                <w:rFonts w:eastAsiaTheme="minorHAnsi" w:cs="Arial"/>
                <w:sz w:val="22"/>
                <w:szCs w:val="22"/>
                <w:lang w:eastAsia="en-US"/>
              </w:rPr>
              <w:t>CAIXA AMARELA ARQUIVO</w:t>
            </w:r>
          </w:p>
        </w:tc>
        <w:tc>
          <w:tcPr>
            <w:tcW w:w="1275" w:type="dxa"/>
            <w:tcBorders>
              <w:top w:val="nil"/>
              <w:left w:val="nil"/>
              <w:bottom w:val="single" w:sz="4" w:space="0" w:color="000000"/>
              <w:right w:val="single" w:sz="4" w:space="0" w:color="000000"/>
            </w:tcBorders>
            <w:shd w:val="clear" w:color="FFFFFF" w:fill="FFFFFF"/>
            <w:noWrap/>
            <w:vAlign w:val="bottom"/>
          </w:tcPr>
          <w:p w14:paraId="24E1B55D" w14:textId="08C4887A" w:rsidR="00A66034"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6,00</w:t>
            </w:r>
          </w:p>
        </w:tc>
        <w:tc>
          <w:tcPr>
            <w:tcW w:w="851" w:type="dxa"/>
            <w:tcBorders>
              <w:top w:val="nil"/>
              <w:left w:val="nil"/>
              <w:bottom w:val="single" w:sz="4" w:space="0" w:color="000000"/>
              <w:right w:val="single" w:sz="4" w:space="0" w:color="000000"/>
            </w:tcBorders>
            <w:shd w:val="clear" w:color="FFFFFF" w:fill="FFFFFF"/>
            <w:noWrap/>
            <w:vAlign w:val="bottom"/>
          </w:tcPr>
          <w:p w14:paraId="01F76A7C" w14:textId="2B2F4FBE" w:rsidR="00A66034" w:rsidRPr="005878FA" w:rsidRDefault="006673F4" w:rsidP="00A64D25">
            <w:pPr>
              <w:jc w:val="center"/>
              <w:rPr>
                <w:rFonts w:eastAsiaTheme="minorHAnsi" w:cs="Arial"/>
                <w:sz w:val="22"/>
                <w:szCs w:val="22"/>
                <w:lang w:eastAsia="en-US"/>
              </w:rPr>
            </w:pPr>
            <w:r w:rsidRPr="005878FA">
              <w:rPr>
                <w:rFonts w:eastAsiaTheme="minorHAnsi" w:cs="Arial"/>
                <w:sz w:val="22"/>
                <w:szCs w:val="22"/>
                <w:lang w:eastAsia="en-US"/>
              </w:rPr>
              <w:t>57</w:t>
            </w:r>
          </w:p>
        </w:tc>
        <w:tc>
          <w:tcPr>
            <w:tcW w:w="1276" w:type="dxa"/>
            <w:tcBorders>
              <w:top w:val="nil"/>
              <w:left w:val="nil"/>
              <w:bottom w:val="single" w:sz="4" w:space="0" w:color="000000"/>
              <w:right w:val="single" w:sz="4" w:space="0" w:color="auto"/>
            </w:tcBorders>
            <w:shd w:val="clear" w:color="FFFFFF" w:fill="FFFFFF"/>
            <w:noWrap/>
            <w:vAlign w:val="bottom"/>
          </w:tcPr>
          <w:p w14:paraId="0BBCC548" w14:textId="1292EBAC" w:rsidR="00A66034"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342</w:t>
            </w:r>
          </w:p>
        </w:tc>
      </w:tr>
      <w:tr w:rsidR="00A66034" w:rsidRPr="005878FA" w14:paraId="1CD91BB2"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7F4DA0BA" w14:textId="7DE3B975" w:rsidR="00A66034" w:rsidRPr="005878FA" w:rsidRDefault="006673F4" w:rsidP="00A64D25">
            <w:pPr>
              <w:rPr>
                <w:rFonts w:eastAsiaTheme="minorHAnsi" w:cs="Arial"/>
                <w:sz w:val="22"/>
                <w:szCs w:val="22"/>
                <w:lang w:eastAsia="en-US"/>
              </w:rPr>
            </w:pPr>
            <w:r w:rsidRPr="005878FA">
              <w:rPr>
                <w:rFonts w:eastAsiaTheme="minorHAnsi" w:cs="Arial"/>
                <w:sz w:val="22"/>
                <w:szCs w:val="22"/>
                <w:lang w:eastAsia="en-US"/>
              </w:rPr>
              <w:t>IMPRESSORA</w:t>
            </w:r>
            <w:r w:rsidR="00F7224D" w:rsidRPr="005878FA">
              <w:rPr>
                <w:rFonts w:eastAsiaTheme="minorHAnsi" w:cs="Arial"/>
                <w:sz w:val="22"/>
                <w:szCs w:val="22"/>
                <w:lang w:eastAsia="en-US"/>
              </w:rPr>
              <w:t xml:space="preserve"> SAMSUNG C4062FX</w:t>
            </w:r>
          </w:p>
        </w:tc>
        <w:tc>
          <w:tcPr>
            <w:tcW w:w="1275" w:type="dxa"/>
            <w:tcBorders>
              <w:top w:val="nil"/>
              <w:left w:val="nil"/>
              <w:bottom w:val="single" w:sz="4" w:space="0" w:color="000000"/>
              <w:right w:val="single" w:sz="4" w:space="0" w:color="000000"/>
            </w:tcBorders>
            <w:shd w:val="clear" w:color="FFFFFF" w:fill="FFFFFF"/>
            <w:noWrap/>
            <w:vAlign w:val="bottom"/>
          </w:tcPr>
          <w:p w14:paraId="601C0E4F" w14:textId="0F8B1BD1" w:rsidR="00A66034"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4.000,00</w:t>
            </w:r>
          </w:p>
        </w:tc>
        <w:tc>
          <w:tcPr>
            <w:tcW w:w="851" w:type="dxa"/>
            <w:tcBorders>
              <w:top w:val="nil"/>
              <w:left w:val="nil"/>
              <w:bottom w:val="single" w:sz="4" w:space="0" w:color="000000"/>
              <w:right w:val="single" w:sz="4" w:space="0" w:color="000000"/>
            </w:tcBorders>
            <w:shd w:val="clear" w:color="FFFFFF" w:fill="FFFFFF"/>
            <w:noWrap/>
            <w:vAlign w:val="bottom"/>
          </w:tcPr>
          <w:p w14:paraId="2F5DC797" w14:textId="02750CDC" w:rsidR="00A66034"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BBEABFF" w14:textId="121E6124" w:rsidR="00A66034"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4.000,00</w:t>
            </w:r>
          </w:p>
        </w:tc>
      </w:tr>
      <w:tr w:rsidR="00042848" w:rsidRPr="005878FA" w14:paraId="6AD96011"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7D98AEB0" w14:textId="2C3182D6" w:rsidR="00042848" w:rsidRPr="005878FA" w:rsidRDefault="00042848" w:rsidP="00A64D25">
            <w:pPr>
              <w:rPr>
                <w:rFonts w:eastAsiaTheme="minorHAnsi" w:cs="Arial"/>
                <w:sz w:val="22"/>
                <w:szCs w:val="22"/>
                <w:lang w:eastAsia="en-US"/>
              </w:rPr>
            </w:pPr>
            <w:r w:rsidRPr="005878FA">
              <w:rPr>
                <w:rFonts w:eastAsiaTheme="minorHAnsi" w:cs="Arial"/>
                <w:sz w:val="22"/>
                <w:szCs w:val="22"/>
                <w:lang w:eastAsia="en-US"/>
              </w:rPr>
              <w:t>PORTEIRO ELETRÔNICO PROTECTION</w:t>
            </w:r>
          </w:p>
        </w:tc>
        <w:tc>
          <w:tcPr>
            <w:tcW w:w="1275" w:type="dxa"/>
            <w:tcBorders>
              <w:top w:val="nil"/>
              <w:left w:val="nil"/>
              <w:bottom w:val="single" w:sz="4" w:space="0" w:color="000000"/>
              <w:right w:val="single" w:sz="4" w:space="0" w:color="000000"/>
            </w:tcBorders>
            <w:shd w:val="clear" w:color="FFFFFF" w:fill="FFFFFF"/>
            <w:noWrap/>
            <w:vAlign w:val="bottom"/>
          </w:tcPr>
          <w:p w14:paraId="65728EA5" w14:textId="5D0F9CC2"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90,00</w:t>
            </w:r>
          </w:p>
        </w:tc>
        <w:tc>
          <w:tcPr>
            <w:tcW w:w="851" w:type="dxa"/>
            <w:tcBorders>
              <w:top w:val="nil"/>
              <w:left w:val="nil"/>
              <w:bottom w:val="single" w:sz="4" w:space="0" w:color="000000"/>
              <w:right w:val="single" w:sz="4" w:space="0" w:color="000000"/>
            </w:tcBorders>
            <w:shd w:val="clear" w:color="FFFFFF" w:fill="FFFFFF"/>
            <w:noWrap/>
            <w:vAlign w:val="bottom"/>
          </w:tcPr>
          <w:p w14:paraId="76D741C1" w14:textId="5F7B017A"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B0285F2" w14:textId="3A2C037F"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90,00</w:t>
            </w:r>
          </w:p>
        </w:tc>
      </w:tr>
      <w:tr w:rsidR="00042848" w:rsidRPr="005878FA" w14:paraId="5678A06C"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30474D22" w14:textId="3153C8DF" w:rsidR="00042848" w:rsidRPr="005878FA" w:rsidRDefault="00042848" w:rsidP="00A64D25">
            <w:pPr>
              <w:rPr>
                <w:rFonts w:eastAsiaTheme="minorHAnsi" w:cs="Arial"/>
                <w:sz w:val="22"/>
                <w:szCs w:val="22"/>
                <w:lang w:eastAsia="en-US"/>
              </w:rPr>
            </w:pPr>
            <w:r w:rsidRPr="005878FA">
              <w:rPr>
                <w:rFonts w:eastAsiaTheme="minorHAnsi" w:cs="Arial"/>
                <w:sz w:val="22"/>
                <w:szCs w:val="22"/>
                <w:lang w:eastAsia="en-US"/>
              </w:rPr>
              <w:t>MICROONDAS PANASONIC</w:t>
            </w:r>
          </w:p>
        </w:tc>
        <w:tc>
          <w:tcPr>
            <w:tcW w:w="1275" w:type="dxa"/>
            <w:tcBorders>
              <w:top w:val="nil"/>
              <w:left w:val="nil"/>
              <w:bottom w:val="single" w:sz="4" w:space="0" w:color="000000"/>
              <w:right w:val="single" w:sz="4" w:space="0" w:color="000000"/>
            </w:tcBorders>
            <w:shd w:val="clear" w:color="FFFFFF" w:fill="FFFFFF"/>
            <w:noWrap/>
            <w:vAlign w:val="bottom"/>
          </w:tcPr>
          <w:p w14:paraId="3A66ECFD" w14:textId="600F39C6"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370,00</w:t>
            </w:r>
          </w:p>
        </w:tc>
        <w:tc>
          <w:tcPr>
            <w:tcW w:w="851" w:type="dxa"/>
            <w:tcBorders>
              <w:top w:val="nil"/>
              <w:left w:val="nil"/>
              <w:bottom w:val="single" w:sz="4" w:space="0" w:color="000000"/>
              <w:right w:val="single" w:sz="4" w:space="0" w:color="000000"/>
            </w:tcBorders>
            <w:shd w:val="clear" w:color="FFFFFF" w:fill="FFFFFF"/>
            <w:noWrap/>
            <w:vAlign w:val="bottom"/>
          </w:tcPr>
          <w:p w14:paraId="199E855F" w14:textId="764DE940"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716F50B8" w14:textId="57E7174E"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370,00</w:t>
            </w:r>
          </w:p>
        </w:tc>
      </w:tr>
      <w:tr w:rsidR="00042848" w:rsidRPr="005878FA" w14:paraId="741CBD76"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A130F6B" w14:textId="487FF0DC" w:rsidR="00042848" w:rsidRPr="005878FA" w:rsidRDefault="00042848" w:rsidP="00A64D25">
            <w:pPr>
              <w:rPr>
                <w:rFonts w:eastAsiaTheme="minorHAnsi" w:cs="Arial"/>
                <w:sz w:val="22"/>
                <w:szCs w:val="22"/>
                <w:lang w:eastAsia="en-US"/>
              </w:rPr>
            </w:pPr>
            <w:r w:rsidRPr="005878FA">
              <w:rPr>
                <w:rFonts w:eastAsiaTheme="minorHAnsi" w:cs="Arial"/>
                <w:sz w:val="22"/>
                <w:szCs w:val="22"/>
                <w:lang w:eastAsia="en-US"/>
              </w:rPr>
              <w:t>CAFETEIRA MONDIAL</w:t>
            </w:r>
          </w:p>
        </w:tc>
        <w:tc>
          <w:tcPr>
            <w:tcW w:w="1275" w:type="dxa"/>
            <w:tcBorders>
              <w:top w:val="nil"/>
              <w:left w:val="nil"/>
              <w:bottom w:val="single" w:sz="4" w:space="0" w:color="000000"/>
              <w:right w:val="single" w:sz="4" w:space="0" w:color="000000"/>
            </w:tcBorders>
            <w:shd w:val="clear" w:color="FFFFFF" w:fill="FFFFFF"/>
            <w:noWrap/>
            <w:vAlign w:val="bottom"/>
          </w:tcPr>
          <w:p w14:paraId="68434BD1" w14:textId="7D4A757D"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90,00</w:t>
            </w:r>
          </w:p>
        </w:tc>
        <w:tc>
          <w:tcPr>
            <w:tcW w:w="851" w:type="dxa"/>
            <w:tcBorders>
              <w:top w:val="nil"/>
              <w:left w:val="nil"/>
              <w:bottom w:val="single" w:sz="4" w:space="0" w:color="000000"/>
              <w:right w:val="single" w:sz="4" w:space="0" w:color="000000"/>
            </w:tcBorders>
            <w:shd w:val="clear" w:color="FFFFFF" w:fill="FFFFFF"/>
            <w:noWrap/>
            <w:vAlign w:val="bottom"/>
          </w:tcPr>
          <w:p w14:paraId="78C089DB" w14:textId="5A8B6078"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0D759D35" w14:textId="77D76A8A"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90,00</w:t>
            </w:r>
          </w:p>
        </w:tc>
      </w:tr>
      <w:tr w:rsidR="00042848" w:rsidRPr="005878FA" w14:paraId="349235CC"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DB59BA0" w14:textId="6E936E38" w:rsidR="00042848" w:rsidRPr="005878FA" w:rsidRDefault="00042848" w:rsidP="00A64D25">
            <w:pPr>
              <w:rPr>
                <w:rFonts w:eastAsiaTheme="minorHAnsi" w:cs="Arial"/>
                <w:sz w:val="22"/>
                <w:szCs w:val="22"/>
                <w:lang w:eastAsia="en-US"/>
              </w:rPr>
            </w:pPr>
            <w:r w:rsidRPr="005878FA">
              <w:rPr>
                <w:rFonts w:eastAsiaTheme="minorHAnsi" w:cs="Arial"/>
                <w:sz w:val="22"/>
                <w:szCs w:val="22"/>
                <w:lang w:eastAsia="en-US"/>
              </w:rPr>
              <w:t>TELEFONE INTELBRAS (PABX)</w:t>
            </w:r>
          </w:p>
        </w:tc>
        <w:tc>
          <w:tcPr>
            <w:tcW w:w="1275" w:type="dxa"/>
            <w:tcBorders>
              <w:top w:val="nil"/>
              <w:left w:val="nil"/>
              <w:bottom w:val="single" w:sz="4" w:space="0" w:color="000000"/>
              <w:right w:val="single" w:sz="4" w:space="0" w:color="000000"/>
            </w:tcBorders>
            <w:shd w:val="clear" w:color="FFFFFF" w:fill="FFFFFF"/>
            <w:noWrap/>
            <w:vAlign w:val="bottom"/>
          </w:tcPr>
          <w:p w14:paraId="0B200C90" w14:textId="4EC1F0A2"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320,00</w:t>
            </w:r>
          </w:p>
        </w:tc>
        <w:tc>
          <w:tcPr>
            <w:tcW w:w="851" w:type="dxa"/>
            <w:tcBorders>
              <w:top w:val="nil"/>
              <w:left w:val="nil"/>
              <w:bottom w:val="single" w:sz="4" w:space="0" w:color="000000"/>
              <w:right w:val="single" w:sz="4" w:space="0" w:color="000000"/>
            </w:tcBorders>
            <w:shd w:val="clear" w:color="FFFFFF" w:fill="FFFFFF"/>
            <w:noWrap/>
            <w:vAlign w:val="bottom"/>
          </w:tcPr>
          <w:p w14:paraId="678EB612" w14:textId="3000CC70"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68EBAE7F" w14:textId="30B17400"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320,00</w:t>
            </w:r>
          </w:p>
        </w:tc>
      </w:tr>
      <w:tr w:rsidR="00042848" w:rsidRPr="005878FA" w14:paraId="271FC437"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6826B005" w14:textId="4EA1CF53" w:rsidR="00042848" w:rsidRPr="005878FA" w:rsidRDefault="00042848" w:rsidP="00042848">
            <w:pPr>
              <w:rPr>
                <w:rFonts w:eastAsiaTheme="minorHAnsi" w:cs="Arial"/>
                <w:sz w:val="22"/>
                <w:szCs w:val="22"/>
                <w:lang w:eastAsia="en-US"/>
              </w:rPr>
            </w:pPr>
            <w:r w:rsidRPr="005878FA">
              <w:rPr>
                <w:rFonts w:eastAsiaTheme="minorHAnsi" w:cs="Arial"/>
                <w:sz w:val="22"/>
                <w:szCs w:val="22"/>
                <w:lang w:eastAsia="en-US"/>
              </w:rPr>
              <w:t>CAIXA COM MATERIAL DE LIMPEZA</w:t>
            </w:r>
          </w:p>
        </w:tc>
        <w:tc>
          <w:tcPr>
            <w:tcW w:w="1275" w:type="dxa"/>
            <w:tcBorders>
              <w:top w:val="nil"/>
              <w:left w:val="nil"/>
              <w:bottom w:val="single" w:sz="4" w:space="0" w:color="000000"/>
              <w:right w:val="single" w:sz="4" w:space="0" w:color="000000"/>
            </w:tcBorders>
            <w:shd w:val="clear" w:color="FFFFFF" w:fill="FFFFFF"/>
            <w:noWrap/>
            <w:vAlign w:val="bottom"/>
          </w:tcPr>
          <w:p w14:paraId="2F3B92A6" w14:textId="1444D014"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90,00</w:t>
            </w:r>
          </w:p>
        </w:tc>
        <w:tc>
          <w:tcPr>
            <w:tcW w:w="851" w:type="dxa"/>
            <w:tcBorders>
              <w:top w:val="nil"/>
              <w:left w:val="nil"/>
              <w:bottom w:val="single" w:sz="4" w:space="0" w:color="000000"/>
              <w:right w:val="single" w:sz="4" w:space="0" w:color="000000"/>
            </w:tcBorders>
            <w:shd w:val="clear" w:color="FFFFFF" w:fill="FFFFFF"/>
            <w:noWrap/>
            <w:vAlign w:val="bottom"/>
          </w:tcPr>
          <w:p w14:paraId="1B75B430" w14:textId="162DFDF4"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5</w:t>
            </w:r>
          </w:p>
        </w:tc>
        <w:tc>
          <w:tcPr>
            <w:tcW w:w="1276" w:type="dxa"/>
            <w:tcBorders>
              <w:top w:val="nil"/>
              <w:left w:val="nil"/>
              <w:bottom w:val="single" w:sz="4" w:space="0" w:color="000000"/>
              <w:right w:val="single" w:sz="4" w:space="0" w:color="auto"/>
            </w:tcBorders>
            <w:shd w:val="clear" w:color="FFFFFF" w:fill="FFFFFF"/>
            <w:noWrap/>
            <w:vAlign w:val="bottom"/>
          </w:tcPr>
          <w:p w14:paraId="0D8E4CAA" w14:textId="20847542"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450,00</w:t>
            </w:r>
          </w:p>
        </w:tc>
      </w:tr>
      <w:tr w:rsidR="00042848" w:rsidRPr="005878FA" w14:paraId="52E1CD0B"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7D6A453B" w14:textId="08F71E64" w:rsidR="00042848" w:rsidRPr="005878FA" w:rsidRDefault="00042848" w:rsidP="00A64D25">
            <w:pPr>
              <w:rPr>
                <w:rFonts w:eastAsiaTheme="minorHAnsi" w:cs="Arial"/>
                <w:sz w:val="22"/>
                <w:szCs w:val="22"/>
                <w:lang w:eastAsia="en-US"/>
              </w:rPr>
            </w:pPr>
            <w:r w:rsidRPr="005878FA">
              <w:rPr>
                <w:rFonts w:eastAsiaTheme="minorHAnsi" w:cs="Arial"/>
                <w:sz w:val="22"/>
                <w:szCs w:val="22"/>
                <w:lang w:eastAsia="en-US"/>
              </w:rPr>
              <w:t>CARRINHO DE LIMPEZA MULTIFUNCIONAL PEQUENO</w:t>
            </w:r>
          </w:p>
        </w:tc>
        <w:tc>
          <w:tcPr>
            <w:tcW w:w="1275" w:type="dxa"/>
            <w:tcBorders>
              <w:top w:val="nil"/>
              <w:left w:val="nil"/>
              <w:bottom w:val="single" w:sz="4" w:space="0" w:color="000000"/>
              <w:right w:val="single" w:sz="4" w:space="0" w:color="000000"/>
            </w:tcBorders>
            <w:shd w:val="clear" w:color="FFFFFF" w:fill="FFFFFF"/>
            <w:noWrap/>
            <w:vAlign w:val="bottom"/>
          </w:tcPr>
          <w:p w14:paraId="70EEF61F" w14:textId="2C93C65F"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400,00</w:t>
            </w:r>
          </w:p>
        </w:tc>
        <w:tc>
          <w:tcPr>
            <w:tcW w:w="851" w:type="dxa"/>
            <w:tcBorders>
              <w:top w:val="nil"/>
              <w:left w:val="nil"/>
              <w:bottom w:val="single" w:sz="4" w:space="0" w:color="000000"/>
              <w:right w:val="single" w:sz="4" w:space="0" w:color="000000"/>
            </w:tcBorders>
            <w:shd w:val="clear" w:color="FFFFFF" w:fill="FFFFFF"/>
            <w:noWrap/>
            <w:vAlign w:val="bottom"/>
          </w:tcPr>
          <w:p w14:paraId="1A64EFB0" w14:textId="0B558E51"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2D4BE01F" w14:textId="498B2E35"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400,00</w:t>
            </w:r>
          </w:p>
        </w:tc>
      </w:tr>
      <w:tr w:rsidR="00042848" w:rsidRPr="005878FA" w14:paraId="4C4EDD2A"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1A71195A" w14:textId="5C235B7C" w:rsidR="00042848" w:rsidRPr="005878FA" w:rsidRDefault="00042848" w:rsidP="00042848">
            <w:pPr>
              <w:rPr>
                <w:rFonts w:eastAsiaTheme="minorHAnsi" w:cs="Arial"/>
                <w:sz w:val="22"/>
                <w:szCs w:val="22"/>
                <w:lang w:eastAsia="en-US"/>
              </w:rPr>
            </w:pPr>
            <w:r w:rsidRPr="005878FA">
              <w:rPr>
                <w:rFonts w:eastAsiaTheme="minorHAnsi" w:cs="Arial"/>
                <w:sz w:val="22"/>
                <w:szCs w:val="22"/>
                <w:lang w:eastAsia="en-US"/>
              </w:rPr>
              <w:t>ESCADA GRANDE</w:t>
            </w:r>
          </w:p>
        </w:tc>
        <w:tc>
          <w:tcPr>
            <w:tcW w:w="1275" w:type="dxa"/>
            <w:tcBorders>
              <w:top w:val="nil"/>
              <w:left w:val="nil"/>
              <w:bottom w:val="single" w:sz="4" w:space="0" w:color="000000"/>
              <w:right w:val="single" w:sz="4" w:space="0" w:color="000000"/>
            </w:tcBorders>
            <w:shd w:val="clear" w:color="FFFFFF" w:fill="FFFFFF"/>
            <w:noWrap/>
            <w:vAlign w:val="bottom"/>
          </w:tcPr>
          <w:p w14:paraId="7FE64804" w14:textId="3C6D0F81"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100,00</w:t>
            </w:r>
          </w:p>
        </w:tc>
        <w:tc>
          <w:tcPr>
            <w:tcW w:w="851" w:type="dxa"/>
            <w:tcBorders>
              <w:top w:val="nil"/>
              <w:left w:val="nil"/>
              <w:bottom w:val="single" w:sz="4" w:space="0" w:color="000000"/>
              <w:right w:val="single" w:sz="4" w:space="0" w:color="000000"/>
            </w:tcBorders>
            <w:shd w:val="clear" w:color="FFFFFF" w:fill="FFFFFF"/>
            <w:noWrap/>
            <w:vAlign w:val="bottom"/>
          </w:tcPr>
          <w:p w14:paraId="4065B5BE" w14:textId="5EAE43EF"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18FA1045" w14:textId="0162110E"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100,00</w:t>
            </w:r>
          </w:p>
        </w:tc>
      </w:tr>
      <w:tr w:rsidR="00042848" w:rsidRPr="005878FA" w14:paraId="264F816A"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088773A5" w14:textId="784087FF" w:rsidR="00042848" w:rsidRPr="005878FA" w:rsidRDefault="00042848" w:rsidP="00042848">
            <w:pPr>
              <w:rPr>
                <w:rFonts w:eastAsiaTheme="minorHAnsi" w:cs="Arial"/>
                <w:sz w:val="22"/>
                <w:szCs w:val="22"/>
                <w:lang w:eastAsia="en-US"/>
              </w:rPr>
            </w:pPr>
            <w:r w:rsidRPr="005878FA">
              <w:rPr>
                <w:rFonts w:eastAsiaTheme="minorHAnsi" w:cs="Arial"/>
                <w:sz w:val="22"/>
                <w:szCs w:val="22"/>
                <w:lang w:eastAsia="en-US"/>
              </w:rPr>
              <w:t>ESCADA PEQUENA</w:t>
            </w:r>
          </w:p>
        </w:tc>
        <w:tc>
          <w:tcPr>
            <w:tcW w:w="1275" w:type="dxa"/>
            <w:tcBorders>
              <w:top w:val="nil"/>
              <w:left w:val="nil"/>
              <w:bottom w:val="single" w:sz="4" w:space="0" w:color="000000"/>
              <w:right w:val="single" w:sz="4" w:space="0" w:color="000000"/>
            </w:tcBorders>
            <w:shd w:val="clear" w:color="FFFFFF" w:fill="FFFFFF"/>
            <w:noWrap/>
            <w:vAlign w:val="bottom"/>
          </w:tcPr>
          <w:p w14:paraId="4F6C3D2F" w14:textId="379D2CB0"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70,00</w:t>
            </w:r>
          </w:p>
        </w:tc>
        <w:tc>
          <w:tcPr>
            <w:tcW w:w="851" w:type="dxa"/>
            <w:tcBorders>
              <w:top w:val="nil"/>
              <w:left w:val="nil"/>
              <w:bottom w:val="single" w:sz="4" w:space="0" w:color="000000"/>
              <w:right w:val="single" w:sz="4" w:space="0" w:color="000000"/>
            </w:tcBorders>
            <w:shd w:val="clear" w:color="FFFFFF" w:fill="FFFFFF"/>
            <w:noWrap/>
            <w:vAlign w:val="bottom"/>
          </w:tcPr>
          <w:p w14:paraId="06740F6A" w14:textId="5E71233B"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2D801918" w14:textId="0CA8B11A"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70,00</w:t>
            </w:r>
          </w:p>
        </w:tc>
      </w:tr>
      <w:tr w:rsidR="00042848" w:rsidRPr="005878FA" w14:paraId="05FA7EA9"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7BF333F5" w14:textId="14596EC3" w:rsidR="00042848" w:rsidRPr="005878FA" w:rsidRDefault="00042848" w:rsidP="00A64D25">
            <w:pPr>
              <w:rPr>
                <w:rFonts w:eastAsiaTheme="minorHAnsi" w:cs="Arial"/>
                <w:sz w:val="22"/>
                <w:szCs w:val="22"/>
                <w:lang w:eastAsia="en-US"/>
              </w:rPr>
            </w:pPr>
            <w:r w:rsidRPr="005878FA">
              <w:rPr>
                <w:rFonts w:eastAsiaTheme="minorHAnsi" w:cs="Arial"/>
                <w:sz w:val="22"/>
                <w:szCs w:val="22"/>
                <w:lang w:eastAsia="en-US"/>
              </w:rPr>
              <w:t>VASSOURA</w:t>
            </w:r>
          </w:p>
        </w:tc>
        <w:tc>
          <w:tcPr>
            <w:tcW w:w="1275" w:type="dxa"/>
            <w:tcBorders>
              <w:top w:val="nil"/>
              <w:left w:val="nil"/>
              <w:bottom w:val="single" w:sz="4" w:space="0" w:color="000000"/>
              <w:right w:val="single" w:sz="4" w:space="0" w:color="000000"/>
            </w:tcBorders>
            <w:shd w:val="clear" w:color="FFFFFF" w:fill="FFFFFF"/>
            <w:noWrap/>
            <w:vAlign w:val="bottom"/>
          </w:tcPr>
          <w:p w14:paraId="3C1D4A1F" w14:textId="6B8041A0"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8,00</w:t>
            </w:r>
          </w:p>
        </w:tc>
        <w:tc>
          <w:tcPr>
            <w:tcW w:w="851" w:type="dxa"/>
            <w:tcBorders>
              <w:top w:val="nil"/>
              <w:left w:val="nil"/>
              <w:bottom w:val="single" w:sz="4" w:space="0" w:color="000000"/>
              <w:right w:val="single" w:sz="4" w:space="0" w:color="000000"/>
            </w:tcBorders>
            <w:shd w:val="clear" w:color="FFFFFF" w:fill="FFFFFF"/>
            <w:noWrap/>
            <w:vAlign w:val="bottom"/>
          </w:tcPr>
          <w:p w14:paraId="4AB15483" w14:textId="45FAF5CC"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4</w:t>
            </w:r>
          </w:p>
        </w:tc>
        <w:tc>
          <w:tcPr>
            <w:tcW w:w="1276" w:type="dxa"/>
            <w:tcBorders>
              <w:top w:val="nil"/>
              <w:left w:val="nil"/>
              <w:bottom w:val="single" w:sz="4" w:space="0" w:color="000000"/>
              <w:right w:val="single" w:sz="4" w:space="0" w:color="auto"/>
            </w:tcBorders>
            <w:shd w:val="clear" w:color="FFFFFF" w:fill="FFFFFF"/>
            <w:noWrap/>
            <w:vAlign w:val="bottom"/>
          </w:tcPr>
          <w:p w14:paraId="100409D9" w14:textId="743DE8C8"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32,00</w:t>
            </w:r>
          </w:p>
        </w:tc>
      </w:tr>
      <w:tr w:rsidR="00042848" w:rsidRPr="005878FA" w14:paraId="4113F9FB"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0BCE9AB" w14:textId="7A41A002" w:rsidR="00042848" w:rsidRPr="005878FA" w:rsidRDefault="00042848" w:rsidP="00A64D25">
            <w:pPr>
              <w:rPr>
                <w:rFonts w:eastAsiaTheme="minorHAnsi" w:cs="Arial"/>
                <w:sz w:val="22"/>
                <w:szCs w:val="22"/>
                <w:lang w:eastAsia="en-US"/>
              </w:rPr>
            </w:pPr>
            <w:r w:rsidRPr="005878FA">
              <w:rPr>
                <w:rFonts w:eastAsiaTheme="minorHAnsi" w:cs="Arial"/>
                <w:sz w:val="22"/>
                <w:szCs w:val="22"/>
                <w:lang w:eastAsia="en-US"/>
              </w:rPr>
              <w:t>RODO</w:t>
            </w:r>
          </w:p>
        </w:tc>
        <w:tc>
          <w:tcPr>
            <w:tcW w:w="1275" w:type="dxa"/>
            <w:tcBorders>
              <w:top w:val="nil"/>
              <w:left w:val="nil"/>
              <w:bottom w:val="single" w:sz="4" w:space="0" w:color="000000"/>
              <w:right w:val="single" w:sz="4" w:space="0" w:color="000000"/>
            </w:tcBorders>
            <w:shd w:val="clear" w:color="FFFFFF" w:fill="FFFFFF"/>
            <w:noWrap/>
            <w:vAlign w:val="bottom"/>
          </w:tcPr>
          <w:p w14:paraId="7A5D1A76" w14:textId="494666CD"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8,00</w:t>
            </w:r>
          </w:p>
        </w:tc>
        <w:tc>
          <w:tcPr>
            <w:tcW w:w="851" w:type="dxa"/>
            <w:tcBorders>
              <w:top w:val="nil"/>
              <w:left w:val="nil"/>
              <w:bottom w:val="single" w:sz="4" w:space="0" w:color="000000"/>
              <w:right w:val="single" w:sz="4" w:space="0" w:color="000000"/>
            </w:tcBorders>
            <w:shd w:val="clear" w:color="FFFFFF" w:fill="FFFFFF"/>
            <w:noWrap/>
            <w:vAlign w:val="bottom"/>
          </w:tcPr>
          <w:p w14:paraId="60CD1CCC" w14:textId="42A47193"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1</w:t>
            </w:r>
          </w:p>
        </w:tc>
        <w:tc>
          <w:tcPr>
            <w:tcW w:w="1276" w:type="dxa"/>
            <w:tcBorders>
              <w:top w:val="nil"/>
              <w:left w:val="nil"/>
              <w:bottom w:val="single" w:sz="4" w:space="0" w:color="000000"/>
              <w:right w:val="single" w:sz="4" w:space="0" w:color="auto"/>
            </w:tcBorders>
            <w:shd w:val="clear" w:color="FFFFFF" w:fill="FFFFFF"/>
            <w:noWrap/>
            <w:vAlign w:val="bottom"/>
          </w:tcPr>
          <w:p w14:paraId="37D6A8BC" w14:textId="5C6E8821" w:rsidR="00042848" w:rsidRPr="005878FA" w:rsidRDefault="00E85291" w:rsidP="00A64D25">
            <w:pPr>
              <w:jc w:val="center"/>
              <w:rPr>
                <w:rFonts w:eastAsiaTheme="minorHAnsi" w:cs="Arial"/>
                <w:sz w:val="22"/>
                <w:szCs w:val="22"/>
                <w:lang w:eastAsia="en-US"/>
              </w:rPr>
            </w:pPr>
            <w:r w:rsidRPr="005878FA">
              <w:rPr>
                <w:rFonts w:eastAsiaTheme="minorHAnsi" w:cs="Arial"/>
                <w:sz w:val="22"/>
                <w:szCs w:val="22"/>
                <w:lang w:eastAsia="en-US"/>
              </w:rPr>
              <w:t>8,00</w:t>
            </w:r>
          </w:p>
        </w:tc>
      </w:tr>
      <w:tr w:rsidR="00042848" w:rsidRPr="005878FA" w14:paraId="7F674028"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6BCA0E8" w14:textId="1CC412F5" w:rsidR="00042848" w:rsidRPr="005878FA" w:rsidRDefault="00042848" w:rsidP="00A64D25">
            <w:pPr>
              <w:rPr>
                <w:rFonts w:eastAsiaTheme="minorHAnsi" w:cs="Arial"/>
                <w:sz w:val="22"/>
                <w:szCs w:val="22"/>
                <w:lang w:eastAsia="en-US"/>
              </w:rPr>
            </w:pPr>
            <w:r w:rsidRPr="005878FA">
              <w:rPr>
                <w:rFonts w:eastAsiaTheme="minorHAnsi" w:cs="Arial"/>
                <w:sz w:val="22"/>
                <w:szCs w:val="22"/>
                <w:lang w:eastAsia="en-US"/>
              </w:rPr>
              <w:t>CAIXA MATERIAL DE EXPEDIENTE</w:t>
            </w:r>
          </w:p>
        </w:tc>
        <w:tc>
          <w:tcPr>
            <w:tcW w:w="1275" w:type="dxa"/>
            <w:tcBorders>
              <w:top w:val="nil"/>
              <w:left w:val="nil"/>
              <w:bottom w:val="single" w:sz="4" w:space="0" w:color="000000"/>
              <w:right w:val="single" w:sz="4" w:space="0" w:color="000000"/>
            </w:tcBorders>
            <w:shd w:val="clear" w:color="FFFFFF" w:fill="FFFFFF"/>
            <w:noWrap/>
            <w:vAlign w:val="bottom"/>
          </w:tcPr>
          <w:p w14:paraId="1D75D7F9" w14:textId="3BED4F1E"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20</w:t>
            </w:r>
          </w:p>
        </w:tc>
        <w:tc>
          <w:tcPr>
            <w:tcW w:w="851" w:type="dxa"/>
            <w:tcBorders>
              <w:top w:val="nil"/>
              <w:left w:val="nil"/>
              <w:bottom w:val="single" w:sz="4" w:space="0" w:color="000000"/>
              <w:right w:val="single" w:sz="4" w:space="0" w:color="000000"/>
            </w:tcBorders>
            <w:shd w:val="clear" w:color="FFFFFF" w:fill="FFFFFF"/>
            <w:noWrap/>
            <w:vAlign w:val="bottom"/>
          </w:tcPr>
          <w:p w14:paraId="4CEB3051" w14:textId="29180677" w:rsidR="00042848"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5</w:t>
            </w:r>
          </w:p>
        </w:tc>
        <w:tc>
          <w:tcPr>
            <w:tcW w:w="1276" w:type="dxa"/>
            <w:tcBorders>
              <w:top w:val="nil"/>
              <w:left w:val="nil"/>
              <w:bottom w:val="single" w:sz="4" w:space="0" w:color="000000"/>
              <w:right w:val="single" w:sz="4" w:space="0" w:color="auto"/>
            </w:tcBorders>
            <w:shd w:val="clear" w:color="FFFFFF" w:fill="FFFFFF"/>
            <w:noWrap/>
            <w:vAlign w:val="bottom"/>
          </w:tcPr>
          <w:p w14:paraId="75A96A7D" w14:textId="50065037" w:rsidR="00042848" w:rsidRPr="005878FA" w:rsidRDefault="00F7224D" w:rsidP="00A64D25">
            <w:pPr>
              <w:jc w:val="center"/>
              <w:rPr>
                <w:rFonts w:eastAsiaTheme="minorHAnsi" w:cs="Arial"/>
                <w:sz w:val="22"/>
                <w:szCs w:val="22"/>
                <w:lang w:eastAsia="en-US"/>
              </w:rPr>
            </w:pPr>
            <w:r w:rsidRPr="005878FA">
              <w:rPr>
                <w:rFonts w:eastAsiaTheme="minorHAnsi" w:cs="Arial"/>
                <w:sz w:val="22"/>
                <w:szCs w:val="22"/>
                <w:lang w:eastAsia="en-US"/>
              </w:rPr>
              <w:t>100</w:t>
            </w:r>
            <w:r w:rsidR="0078340C" w:rsidRPr="005878FA">
              <w:rPr>
                <w:rFonts w:eastAsiaTheme="minorHAnsi" w:cs="Arial"/>
                <w:sz w:val="22"/>
                <w:szCs w:val="22"/>
                <w:lang w:eastAsia="en-US"/>
              </w:rPr>
              <w:t>,00</w:t>
            </w:r>
          </w:p>
        </w:tc>
      </w:tr>
      <w:tr w:rsidR="00A66034" w:rsidRPr="005878FA" w14:paraId="26C181A7" w14:textId="77777777" w:rsidTr="000179C9">
        <w:trPr>
          <w:trHeight w:val="276"/>
        </w:trPr>
        <w:tc>
          <w:tcPr>
            <w:tcW w:w="4957" w:type="dxa"/>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50084F22" w14:textId="37914AAB" w:rsidR="00A66034" w:rsidRPr="005878FA" w:rsidRDefault="00042848" w:rsidP="00A64D25">
            <w:pPr>
              <w:rPr>
                <w:rFonts w:eastAsiaTheme="minorHAnsi" w:cs="Arial"/>
                <w:sz w:val="22"/>
                <w:szCs w:val="22"/>
                <w:lang w:eastAsia="en-US"/>
              </w:rPr>
            </w:pPr>
            <w:r w:rsidRPr="005878FA">
              <w:rPr>
                <w:rFonts w:eastAsiaTheme="minorHAnsi" w:cs="Arial"/>
                <w:sz w:val="22"/>
                <w:szCs w:val="22"/>
                <w:lang w:eastAsia="en-US"/>
              </w:rPr>
              <w:t>CAIXAS LIVROS/MATERIAL DIVULGAÇÃO</w:t>
            </w:r>
          </w:p>
        </w:tc>
        <w:tc>
          <w:tcPr>
            <w:tcW w:w="1275" w:type="dxa"/>
            <w:tcBorders>
              <w:top w:val="nil"/>
              <w:left w:val="nil"/>
              <w:bottom w:val="single" w:sz="4" w:space="0" w:color="000000"/>
              <w:right w:val="single" w:sz="4" w:space="0" w:color="000000"/>
            </w:tcBorders>
            <w:shd w:val="clear" w:color="FFFFFF" w:fill="FFFFFF"/>
            <w:noWrap/>
            <w:vAlign w:val="bottom"/>
          </w:tcPr>
          <w:p w14:paraId="69D0B287" w14:textId="14006054" w:rsidR="00A66034" w:rsidRPr="005878FA" w:rsidRDefault="0078340C" w:rsidP="00A64D25">
            <w:pPr>
              <w:jc w:val="center"/>
              <w:rPr>
                <w:rFonts w:eastAsiaTheme="minorHAnsi" w:cs="Arial"/>
                <w:sz w:val="22"/>
                <w:szCs w:val="22"/>
                <w:lang w:eastAsia="en-US"/>
              </w:rPr>
            </w:pPr>
            <w:r w:rsidRPr="005878FA">
              <w:rPr>
                <w:rFonts w:eastAsiaTheme="minorHAnsi" w:cs="Arial"/>
                <w:sz w:val="22"/>
                <w:szCs w:val="22"/>
                <w:lang w:eastAsia="en-US"/>
              </w:rPr>
              <w:t>20</w:t>
            </w:r>
          </w:p>
        </w:tc>
        <w:tc>
          <w:tcPr>
            <w:tcW w:w="851" w:type="dxa"/>
            <w:tcBorders>
              <w:top w:val="nil"/>
              <w:left w:val="nil"/>
              <w:bottom w:val="single" w:sz="4" w:space="0" w:color="000000"/>
              <w:right w:val="single" w:sz="4" w:space="0" w:color="000000"/>
            </w:tcBorders>
            <w:shd w:val="clear" w:color="FFFFFF" w:fill="FFFFFF"/>
            <w:noWrap/>
            <w:vAlign w:val="bottom"/>
          </w:tcPr>
          <w:p w14:paraId="065DC375" w14:textId="5BEA4CAC" w:rsidR="00A66034" w:rsidRPr="005878FA" w:rsidRDefault="00042848" w:rsidP="00A64D25">
            <w:pPr>
              <w:jc w:val="center"/>
              <w:rPr>
                <w:rFonts w:eastAsiaTheme="minorHAnsi" w:cs="Arial"/>
                <w:sz w:val="22"/>
                <w:szCs w:val="22"/>
                <w:lang w:eastAsia="en-US"/>
              </w:rPr>
            </w:pPr>
            <w:r w:rsidRPr="005878FA">
              <w:rPr>
                <w:rFonts w:eastAsiaTheme="minorHAnsi" w:cs="Arial"/>
                <w:sz w:val="22"/>
                <w:szCs w:val="22"/>
                <w:lang w:eastAsia="en-US"/>
              </w:rPr>
              <w:t>5</w:t>
            </w:r>
          </w:p>
        </w:tc>
        <w:tc>
          <w:tcPr>
            <w:tcW w:w="1276" w:type="dxa"/>
            <w:tcBorders>
              <w:top w:val="nil"/>
              <w:left w:val="nil"/>
              <w:bottom w:val="single" w:sz="4" w:space="0" w:color="000000"/>
              <w:right w:val="single" w:sz="4" w:space="0" w:color="auto"/>
            </w:tcBorders>
            <w:shd w:val="clear" w:color="FFFFFF" w:fill="FFFFFF"/>
            <w:noWrap/>
            <w:vAlign w:val="bottom"/>
          </w:tcPr>
          <w:p w14:paraId="56200DE2" w14:textId="6264F113" w:rsidR="00A66034" w:rsidRPr="005878FA" w:rsidRDefault="0078340C" w:rsidP="00A64D25">
            <w:pPr>
              <w:jc w:val="center"/>
              <w:rPr>
                <w:rFonts w:eastAsiaTheme="minorHAnsi" w:cs="Arial"/>
                <w:sz w:val="22"/>
                <w:szCs w:val="22"/>
                <w:lang w:eastAsia="en-US"/>
              </w:rPr>
            </w:pPr>
            <w:r w:rsidRPr="005878FA">
              <w:rPr>
                <w:rFonts w:eastAsiaTheme="minorHAnsi" w:cs="Arial"/>
                <w:sz w:val="22"/>
                <w:szCs w:val="22"/>
                <w:lang w:eastAsia="en-US"/>
              </w:rPr>
              <w:t>100,00</w:t>
            </w:r>
          </w:p>
        </w:tc>
      </w:tr>
      <w:tr w:rsidR="001F1959" w:rsidRPr="005878FA" w14:paraId="06ACB750" w14:textId="77777777" w:rsidTr="000179C9">
        <w:trPr>
          <w:trHeight w:val="276"/>
        </w:trPr>
        <w:tc>
          <w:tcPr>
            <w:tcW w:w="8359" w:type="dxa"/>
            <w:gridSpan w:val="4"/>
            <w:tcBorders>
              <w:top w:val="single" w:sz="4" w:space="0" w:color="000000"/>
              <w:left w:val="single" w:sz="4" w:space="0" w:color="auto"/>
              <w:bottom w:val="single" w:sz="4" w:space="0" w:color="000000"/>
              <w:right w:val="single" w:sz="4" w:space="0" w:color="000000"/>
            </w:tcBorders>
            <w:shd w:val="clear" w:color="FFFFFF" w:fill="FFFFFF"/>
            <w:noWrap/>
            <w:vAlign w:val="bottom"/>
          </w:tcPr>
          <w:p w14:paraId="62197BBC" w14:textId="5FA5094B" w:rsidR="00A64D25" w:rsidRPr="005878FA" w:rsidRDefault="00A64D25" w:rsidP="00A64D25">
            <w:pPr>
              <w:jc w:val="center"/>
              <w:rPr>
                <w:rFonts w:eastAsiaTheme="minorHAnsi" w:cs="Arial"/>
                <w:sz w:val="22"/>
                <w:szCs w:val="22"/>
                <w:lang w:eastAsia="en-US"/>
              </w:rPr>
            </w:pPr>
          </w:p>
        </w:tc>
      </w:tr>
      <w:tr w:rsidR="001F1959" w:rsidRPr="005878FA" w14:paraId="4E4DAAF9" w14:textId="77777777" w:rsidTr="000179C9">
        <w:trPr>
          <w:trHeight w:val="276"/>
        </w:trPr>
        <w:tc>
          <w:tcPr>
            <w:tcW w:w="6232" w:type="dxa"/>
            <w:gridSpan w:val="2"/>
            <w:tcBorders>
              <w:top w:val="single" w:sz="4" w:space="0" w:color="000000"/>
              <w:left w:val="single" w:sz="4" w:space="0" w:color="auto"/>
              <w:bottom w:val="single" w:sz="4" w:space="0" w:color="auto"/>
              <w:right w:val="single" w:sz="4" w:space="0" w:color="000000"/>
            </w:tcBorders>
            <w:shd w:val="clear" w:color="auto" w:fill="BFBFBF" w:themeFill="background1" w:themeFillShade="BF"/>
            <w:noWrap/>
            <w:vAlign w:val="bottom"/>
            <w:hideMark/>
          </w:tcPr>
          <w:p w14:paraId="2B012DA3" w14:textId="77777777" w:rsidR="00A64D25" w:rsidRPr="005878FA" w:rsidRDefault="00A64D25" w:rsidP="00A64D25">
            <w:pPr>
              <w:jc w:val="center"/>
              <w:rPr>
                <w:rFonts w:eastAsiaTheme="minorHAnsi" w:cs="Arial"/>
                <w:sz w:val="22"/>
                <w:szCs w:val="22"/>
                <w:lang w:eastAsia="en-US"/>
              </w:rPr>
            </w:pPr>
            <w:r w:rsidRPr="005878FA">
              <w:rPr>
                <w:rFonts w:eastAsiaTheme="minorHAnsi" w:cs="Arial"/>
                <w:sz w:val="22"/>
                <w:szCs w:val="22"/>
                <w:lang w:eastAsia="en-US"/>
              </w:rPr>
              <w:t>Total Geral</w:t>
            </w:r>
          </w:p>
        </w:tc>
        <w:tc>
          <w:tcPr>
            <w:tcW w:w="851" w:type="dxa"/>
            <w:tcBorders>
              <w:top w:val="nil"/>
              <w:left w:val="nil"/>
              <w:bottom w:val="single" w:sz="4" w:space="0" w:color="auto"/>
              <w:right w:val="single" w:sz="4" w:space="0" w:color="000000"/>
            </w:tcBorders>
            <w:shd w:val="clear" w:color="auto" w:fill="BFBFBF" w:themeFill="background1" w:themeFillShade="BF"/>
            <w:noWrap/>
            <w:vAlign w:val="bottom"/>
          </w:tcPr>
          <w:p w14:paraId="67409B2E" w14:textId="59626407" w:rsidR="00A64D25" w:rsidRPr="005878FA" w:rsidRDefault="00A64D25" w:rsidP="00A64D25">
            <w:pPr>
              <w:jc w:val="center"/>
              <w:rPr>
                <w:rFonts w:eastAsiaTheme="minorHAnsi" w:cs="Arial"/>
                <w:sz w:val="22"/>
                <w:szCs w:val="22"/>
                <w:lang w:eastAsia="en-US"/>
              </w:rPr>
            </w:pPr>
          </w:p>
        </w:tc>
        <w:tc>
          <w:tcPr>
            <w:tcW w:w="1276" w:type="dxa"/>
            <w:tcBorders>
              <w:top w:val="nil"/>
              <w:left w:val="nil"/>
              <w:bottom w:val="single" w:sz="4" w:space="0" w:color="auto"/>
              <w:right w:val="single" w:sz="4" w:space="0" w:color="auto"/>
            </w:tcBorders>
            <w:shd w:val="clear" w:color="auto" w:fill="BFBFBF" w:themeFill="background1" w:themeFillShade="BF"/>
            <w:noWrap/>
            <w:vAlign w:val="bottom"/>
            <w:hideMark/>
          </w:tcPr>
          <w:p w14:paraId="348E332A" w14:textId="702F8244" w:rsidR="00A64D25" w:rsidRPr="005878FA" w:rsidRDefault="005878FA" w:rsidP="005878FA">
            <w:pPr>
              <w:jc w:val="center"/>
              <w:rPr>
                <w:rFonts w:eastAsiaTheme="minorHAnsi" w:cs="Arial"/>
                <w:sz w:val="22"/>
                <w:szCs w:val="22"/>
                <w:lang w:eastAsia="en-US"/>
              </w:rPr>
            </w:pPr>
            <w:r w:rsidRPr="005878FA">
              <w:rPr>
                <w:rFonts w:eastAsiaTheme="minorHAnsi" w:cs="Arial"/>
                <w:sz w:val="22"/>
                <w:szCs w:val="22"/>
                <w:lang w:eastAsia="en-US"/>
              </w:rPr>
              <w:t>62</w:t>
            </w:r>
            <w:r w:rsidR="006673F4" w:rsidRPr="005878FA">
              <w:rPr>
                <w:rFonts w:eastAsiaTheme="minorHAnsi" w:cs="Arial"/>
                <w:sz w:val="22"/>
                <w:szCs w:val="22"/>
                <w:lang w:eastAsia="en-US"/>
              </w:rPr>
              <w:t>.</w:t>
            </w:r>
            <w:r w:rsidRPr="005878FA">
              <w:rPr>
                <w:rFonts w:eastAsiaTheme="minorHAnsi" w:cs="Arial"/>
                <w:sz w:val="22"/>
                <w:szCs w:val="22"/>
                <w:lang w:eastAsia="en-US"/>
              </w:rPr>
              <w:t>655</w:t>
            </w:r>
            <w:r w:rsidR="006673F4" w:rsidRPr="005878FA">
              <w:rPr>
                <w:rFonts w:eastAsiaTheme="minorHAnsi" w:cs="Arial"/>
                <w:sz w:val="22"/>
                <w:szCs w:val="22"/>
                <w:lang w:eastAsia="en-US"/>
              </w:rPr>
              <w:t>,</w:t>
            </w:r>
            <w:r w:rsidRPr="005878FA">
              <w:rPr>
                <w:rFonts w:eastAsiaTheme="minorHAnsi" w:cs="Arial"/>
                <w:sz w:val="22"/>
                <w:szCs w:val="22"/>
                <w:lang w:eastAsia="en-US"/>
              </w:rPr>
              <w:t>80</w:t>
            </w:r>
          </w:p>
        </w:tc>
      </w:tr>
    </w:tbl>
    <w:p w14:paraId="494DAC2F" w14:textId="7C5FF514" w:rsidR="00563005" w:rsidRPr="00DC6AE3" w:rsidRDefault="00563005" w:rsidP="00D17875">
      <w:pPr>
        <w:pStyle w:val="PargrafodaLista"/>
        <w:ind w:left="716"/>
        <w:jc w:val="both"/>
        <w:rPr>
          <w:rFonts w:cs="Arial"/>
          <w:bCs/>
          <w:color w:val="FF0000"/>
          <w:szCs w:val="20"/>
        </w:rPr>
      </w:pPr>
    </w:p>
    <w:p w14:paraId="0AB564AF" w14:textId="04107A0F" w:rsidR="00822758" w:rsidRPr="00DA0A64" w:rsidRDefault="007B7E1C" w:rsidP="000D390A">
      <w:pPr>
        <w:pStyle w:val="Nivel1"/>
        <w:rPr>
          <w:rFonts w:cs="Arial"/>
          <w:color w:val="auto"/>
          <w:sz w:val="22"/>
          <w:szCs w:val="22"/>
        </w:rPr>
      </w:pPr>
      <w:r w:rsidRPr="00DA0A64">
        <w:rPr>
          <w:rFonts w:cs="Arial"/>
          <w:color w:val="auto"/>
          <w:sz w:val="22"/>
          <w:szCs w:val="22"/>
        </w:rPr>
        <w:lastRenderedPageBreak/>
        <w:t>MODELO DE GESTÃO DO CONTRATO E CRITÉRIOS DE MEDIÇÃO E PAGAMENTO:</w:t>
      </w:r>
    </w:p>
    <w:p w14:paraId="230F5945" w14:textId="77777777"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A ANTAQ, por meio do fiscal e do gestor do contrato, realizará a verificação dos critérios estabelecidos, de modo a assegurar o melhor desempenho na prestação dos serviços contratados. </w:t>
      </w:r>
    </w:p>
    <w:p w14:paraId="1EE06FBB" w14:textId="175AC7DC"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Configurado o descumprimento dos critérios de desempenho, será realizado o ajuste da fatura de serviços de acordo com os percentuais estabelecidos. </w:t>
      </w:r>
    </w:p>
    <w:p w14:paraId="232B0D3C" w14:textId="77777777"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Os critérios de desempenho a serem considerados serão avaliados conforme descrições do Instrumento de Medição do Resultado (IMR), e suas ocorrências serão anotadas pelo fiscal do contrato e imediatamente comunicada à Contratante. </w:t>
      </w:r>
    </w:p>
    <w:p w14:paraId="45A78865" w14:textId="10B20CBB"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Os critérios Apresentação, Assiduidade e Efetividade serão mensurados por meio de inspeções in loco pelo fiscal do contrato. </w:t>
      </w:r>
    </w:p>
    <w:p w14:paraId="7288F3E1" w14:textId="475E033A" w:rsidR="00FC08A2" w:rsidRPr="00DA0A64"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DA0A64">
        <w:rPr>
          <w:rFonts w:eastAsiaTheme="minorHAnsi" w:cs="Arial"/>
          <w:sz w:val="22"/>
          <w:szCs w:val="22"/>
          <w:lang w:eastAsia="en-US"/>
        </w:rPr>
        <w:t xml:space="preserve">O processamento das glosas não impede a instauração concomitante de procedimento para aplicação de sanção administrativa, conforme </w:t>
      </w:r>
      <w:r w:rsidR="003B18D2" w:rsidRPr="00DA0A64">
        <w:rPr>
          <w:rFonts w:eastAsiaTheme="minorHAnsi" w:cs="Arial"/>
          <w:sz w:val="22"/>
          <w:szCs w:val="22"/>
          <w:lang w:eastAsia="en-US"/>
        </w:rPr>
        <w:t xml:space="preserve">item </w:t>
      </w:r>
      <w:r w:rsidR="001051B8" w:rsidRPr="00DA0A64">
        <w:rPr>
          <w:rFonts w:eastAsiaTheme="minorHAnsi" w:cs="Arial"/>
          <w:sz w:val="22"/>
          <w:szCs w:val="22"/>
          <w:lang w:eastAsia="en-US"/>
        </w:rPr>
        <w:t>18</w:t>
      </w:r>
      <w:r w:rsidRPr="00DA0A64">
        <w:rPr>
          <w:rFonts w:eastAsiaTheme="minorHAnsi" w:cs="Arial"/>
          <w:sz w:val="22"/>
          <w:szCs w:val="22"/>
          <w:lang w:eastAsia="en-US"/>
        </w:rPr>
        <w:t xml:space="preserve"> deste termo de referência.</w:t>
      </w:r>
    </w:p>
    <w:p w14:paraId="4F8463C0" w14:textId="77777777" w:rsidR="000A1D53" w:rsidRPr="00DA0A64" w:rsidRDefault="000A1D53" w:rsidP="00FC08A2">
      <w:pPr>
        <w:pStyle w:val="paragrafonumeradonivel2"/>
        <w:tabs>
          <w:tab w:val="left" w:pos="142"/>
        </w:tabs>
        <w:spacing w:before="0" w:beforeAutospacing="0" w:after="0" w:afterAutospacing="0" w:line="360" w:lineRule="auto"/>
        <w:ind w:left="551" w:right="120"/>
        <w:jc w:val="center"/>
        <w:rPr>
          <w:rFonts w:ascii="Arial" w:hAnsi="Arial" w:cs="Arial"/>
          <w:sz w:val="22"/>
          <w:szCs w:val="22"/>
          <w:u w:val="single"/>
        </w:rPr>
      </w:pPr>
    </w:p>
    <w:p w14:paraId="3E166E55" w14:textId="00336A5F" w:rsidR="00FC08A2" w:rsidRPr="00DA0A64" w:rsidRDefault="00FC08A2" w:rsidP="00FC08A2">
      <w:pPr>
        <w:pStyle w:val="paragrafonumeradonivel2"/>
        <w:tabs>
          <w:tab w:val="left" w:pos="142"/>
        </w:tabs>
        <w:spacing w:before="0" w:beforeAutospacing="0" w:after="0" w:afterAutospacing="0" w:line="360" w:lineRule="auto"/>
        <w:ind w:left="551" w:right="120"/>
        <w:jc w:val="center"/>
        <w:rPr>
          <w:rFonts w:ascii="Arial" w:hAnsi="Arial" w:cs="Arial"/>
          <w:sz w:val="22"/>
          <w:szCs w:val="22"/>
          <w:u w:val="single"/>
        </w:rPr>
      </w:pPr>
      <w:r w:rsidRPr="00DA0A64">
        <w:rPr>
          <w:rFonts w:ascii="Arial" w:hAnsi="Arial" w:cs="Arial"/>
          <w:sz w:val="22"/>
          <w:szCs w:val="22"/>
          <w:u w:val="single"/>
        </w:rPr>
        <w:t>Instrumento de Medição do Resultado (IMR)</w:t>
      </w:r>
    </w:p>
    <w:tbl>
      <w:tblPr>
        <w:tblStyle w:val="Tabelacomgrade"/>
        <w:tblW w:w="9351" w:type="dxa"/>
        <w:tblInd w:w="0" w:type="dxa"/>
        <w:tblLayout w:type="fixed"/>
        <w:tblLook w:val="04A0" w:firstRow="1" w:lastRow="0" w:firstColumn="1" w:lastColumn="0" w:noHBand="0" w:noVBand="1"/>
      </w:tblPr>
      <w:tblGrid>
        <w:gridCol w:w="1555"/>
        <w:gridCol w:w="3260"/>
        <w:gridCol w:w="850"/>
        <w:gridCol w:w="1843"/>
        <w:gridCol w:w="1843"/>
      </w:tblGrid>
      <w:tr w:rsidR="00DA0A64" w:rsidRPr="00DA0A64" w14:paraId="677FCF19" w14:textId="77777777" w:rsidTr="00CC65ED">
        <w:tc>
          <w:tcPr>
            <w:tcW w:w="1555" w:type="dxa"/>
          </w:tcPr>
          <w:p w14:paraId="2105DAF5"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CRITÉRIO</w:t>
            </w:r>
          </w:p>
        </w:tc>
        <w:tc>
          <w:tcPr>
            <w:tcW w:w="3260" w:type="dxa"/>
          </w:tcPr>
          <w:p w14:paraId="78ADAAB6"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DESCRIÇÃO</w:t>
            </w:r>
          </w:p>
        </w:tc>
        <w:tc>
          <w:tcPr>
            <w:tcW w:w="850" w:type="dxa"/>
          </w:tcPr>
          <w:p w14:paraId="397B13C9"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 xml:space="preserve">GRAU </w:t>
            </w:r>
          </w:p>
          <w:p w14:paraId="41B2CFAD" w14:textId="77777777" w:rsidR="00FC08A2" w:rsidRPr="00DA0A64" w:rsidRDefault="00FC08A2" w:rsidP="0066385E">
            <w:pPr>
              <w:autoSpaceDE w:val="0"/>
              <w:autoSpaceDN w:val="0"/>
              <w:adjustRightInd w:val="0"/>
              <w:jc w:val="both"/>
              <w:rPr>
                <w:rFonts w:cs="Arial"/>
                <w:bCs/>
                <w:szCs w:val="20"/>
              </w:rPr>
            </w:pPr>
          </w:p>
        </w:tc>
        <w:tc>
          <w:tcPr>
            <w:tcW w:w="1843" w:type="dxa"/>
          </w:tcPr>
          <w:p w14:paraId="03D5E888"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PONTOS PERDIDOS POR INCIDÊNCIA</w:t>
            </w:r>
          </w:p>
        </w:tc>
        <w:tc>
          <w:tcPr>
            <w:tcW w:w="1843" w:type="dxa"/>
          </w:tcPr>
          <w:p w14:paraId="4046643A"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PONTOS PERDIDOS POR REINCIDÊNCIA</w:t>
            </w:r>
          </w:p>
        </w:tc>
      </w:tr>
      <w:tr w:rsidR="00DA0A64" w:rsidRPr="00DA0A64" w14:paraId="23A6264D" w14:textId="77777777" w:rsidTr="00CC65ED">
        <w:tc>
          <w:tcPr>
            <w:tcW w:w="1555" w:type="dxa"/>
          </w:tcPr>
          <w:p w14:paraId="2D38DD9B" w14:textId="77777777" w:rsidR="00FC08A2" w:rsidRPr="00DA0A64" w:rsidRDefault="00FC08A2" w:rsidP="0066385E">
            <w:pPr>
              <w:autoSpaceDE w:val="0"/>
              <w:autoSpaceDN w:val="0"/>
              <w:adjustRightInd w:val="0"/>
              <w:jc w:val="both"/>
              <w:rPr>
                <w:rFonts w:cs="Arial"/>
                <w:bCs/>
                <w:szCs w:val="20"/>
              </w:rPr>
            </w:pPr>
            <w:r w:rsidRPr="00DA0A64">
              <w:rPr>
                <w:rFonts w:cs="Arial"/>
                <w:szCs w:val="20"/>
              </w:rPr>
              <w:t>Apresentação</w:t>
            </w:r>
          </w:p>
        </w:tc>
        <w:tc>
          <w:tcPr>
            <w:tcW w:w="3260" w:type="dxa"/>
          </w:tcPr>
          <w:p w14:paraId="799A4FE2" w14:textId="77777777" w:rsidR="00FC08A2" w:rsidRPr="00DA0A64" w:rsidRDefault="00FC08A2" w:rsidP="0066385E">
            <w:pPr>
              <w:autoSpaceDE w:val="0"/>
              <w:autoSpaceDN w:val="0"/>
              <w:adjustRightInd w:val="0"/>
              <w:jc w:val="both"/>
              <w:rPr>
                <w:rFonts w:cs="Arial"/>
                <w:bCs/>
                <w:szCs w:val="20"/>
              </w:rPr>
            </w:pPr>
            <w:r w:rsidRPr="00DA0A64">
              <w:rPr>
                <w:rFonts w:cs="Arial"/>
                <w:szCs w:val="20"/>
              </w:rPr>
              <w:t>Permitir a presença de funcionário sem uniforme, mal apresentado e/ou sem Cartão de Identificação, por funcionário e por ocorrência;</w:t>
            </w:r>
          </w:p>
        </w:tc>
        <w:tc>
          <w:tcPr>
            <w:tcW w:w="850" w:type="dxa"/>
          </w:tcPr>
          <w:p w14:paraId="2FF7835E"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1</w:t>
            </w:r>
          </w:p>
        </w:tc>
        <w:tc>
          <w:tcPr>
            <w:tcW w:w="1843" w:type="dxa"/>
          </w:tcPr>
          <w:p w14:paraId="45778723"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2</w:t>
            </w:r>
          </w:p>
        </w:tc>
        <w:tc>
          <w:tcPr>
            <w:tcW w:w="1843" w:type="dxa"/>
          </w:tcPr>
          <w:p w14:paraId="15882954"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4</w:t>
            </w:r>
          </w:p>
        </w:tc>
      </w:tr>
      <w:tr w:rsidR="00DA0A64" w:rsidRPr="00DA0A64" w14:paraId="39CB0423" w14:textId="77777777" w:rsidTr="00CC65ED">
        <w:tc>
          <w:tcPr>
            <w:tcW w:w="1555" w:type="dxa"/>
          </w:tcPr>
          <w:p w14:paraId="381826F3" w14:textId="77777777" w:rsidR="00FC08A2" w:rsidRPr="00DA0A64" w:rsidRDefault="00FC08A2" w:rsidP="0066385E">
            <w:pPr>
              <w:autoSpaceDE w:val="0"/>
              <w:autoSpaceDN w:val="0"/>
              <w:adjustRightInd w:val="0"/>
              <w:jc w:val="both"/>
              <w:rPr>
                <w:rFonts w:cs="Arial"/>
                <w:bCs/>
                <w:szCs w:val="20"/>
              </w:rPr>
            </w:pPr>
            <w:r w:rsidRPr="00DA0A64">
              <w:rPr>
                <w:rFonts w:cs="Arial"/>
                <w:szCs w:val="20"/>
              </w:rPr>
              <w:t>Assiduidade</w:t>
            </w:r>
          </w:p>
        </w:tc>
        <w:tc>
          <w:tcPr>
            <w:tcW w:w="3260" w:type="dxa"/>
          </w:tcPr>
          <w:p w14:paraId="119AFCFD" w14:textId="04C27757" w:rsidR="00FC08A2" w:rsidRPr="00DA0A64" w:rsidRDefault="000A1D53" w:rsidP="000A1D53">
            <w:pPr>
              <w:autoSpaceDE w:val="0"/>
              <w:autoSpaceDN w:val="0"/>
              <w:adjustRightInd w:val="0"/>
              <w:jc w:val="both"/>
              <w:rPr>
                <w:rFonts w:cs="Arial"/>
                <w:bCs/>
                <w:szCs w:val="20"/>
              </w:rPr>
            </w:pPr>
            <w:r w:rsidRPr="00DA0A64">
              <w:rPr>
                <w:rFonts w:cs="Arial"/>
                <w:szCs w:val="20"/>
              </w:rPr>
              <w:t>Permitir atraso injustificado na conclusão do serviço</w:t>
            </w:r>
            <w:r w:rsidR="00FC08A2" w:rsidRPr="00DA0A64">
              <w:rPr>
                <w:rFonts w:cs="Arial"/>
                <w:szCs w:val="20"/>
              </w:rPr>
              <w:t>;</w:t>
            </w:r>
          </w:p>
        </w:tc>
        <w:tc>
          <w:tcPr>
            <w:tcW w:w="850" w:type="dxa"/>
          </w:tcPr>
          <w:p w14:paraId="01E83F0B"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2</w:t>
            </w:r>
          </w:p>
        </w:tc>
        <w:tc>
          <w:tcPr>
            <w:tcW w:w="1843" w:type="dxa"/>
          </w:tcPr>
          <w:p w14:paraId="45C74743"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4</w:t>
            </w:r>
          </w:p>
        </w:tc>
        <w:tc>
          <w:tcPr>
            <w:tcW w:w="1843" w:type="dxa"/>
          </w:tcPr>
          <w:p w14:paraId="0905AD03"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5</w:t>
            </w:r>
          </w:p>
        </w:tc>
      </w:tr>
      <w:tr w:rsidR="00DA0A64" w:rsidRPr="00DA0A64" w14:paraId="669296D3" w14:textId="77777777" w:rsidTr="00CC65ED">
        <w:tc>
          <w:tcPr>
            <w:tcW w:w="1555" w:type="dxa"/>
          </w:tcPr>
          <w:p w14:paraId="3C6A8776" w14:textId="77777777" w:rsidR="00FC08A2" w:rsidRPr="00DA0A64" w:rsidRDefault="00FC08A2" w:rsidP="0066385E">
            <w:pPr>
              <w:autoSpaceDE w:val="0"/>
              <w:autoSpaceDN w:val="0"/>
              <w:adjustRightInd w:val="0"/>
              <w:jc w:val="both"/>
              <w:rPr>
                <w:rFonts w:cs="Arial"/>
                <w:bCs/>
                <w:szCs w:val="20"/>
              </w:rPr>
            </w:pPr>
            <w:r w:rsidRPr="00DA0A64">
              <w:rPr>
                <w:rFonts w:cs="Arial"/>
                <w:szCs w:val="20"/>
              </w:rPr>
              <w:t>Efetividade</w:t>
            </w:r>
          </w:p>
        </w:tc>
        <w:tc>
          <w:tcPr>
            <w:tcW w:w="3260" w:type="dxa"/>
          </w:tcPr>
          <w:p w14:paraId="5DDB7E0D" w14:textId="440EA096" w:rsidR="00FC08A2" w:rsidRPr="00DA0A64" w:rsidRDefault="00FC08A2" w:rsidP="000A1D53">
            <w:pPr>
              <w:autoSpaceDE w:val="0"/>
              <w:autoSpaceDN w:val="0"/>
              <w:adjustRightInd w:val="0"/>
              <w:jc w:val="both"/>
              <w:rPr>
                <w:rFonts w:cs="Arial"/>
                <w:bCs/>
                <w:szCs w:val="20"/>
              </w:rPr>
            </w:pPr>
            <w:r w:rsidRPr="00DA0A64">
              <w:rPr>
                <w:rFonts w:cs="Arial"/>
                <w:szCs w:val="20"/>
              </w:rPr>
              <w:t xml:space="preserve">Descumprir as </w:t>
            </w:r>
            <w:r w:rsidR="000A1D53" w:rsidRPr="00DA0A64">
              <w:rPr>
                <w:rFonts w:cs="Arial"/>
                <w:szCs w:val="20"/>
              </w:rPr>
              <w:t>exigências</w:t>
            </w:r>
            <w:r w:rsidRPr="00DA0A64">
              <w:rPr>
                <w:rFonts w:cs="Arial"/>
                <w:szCs w:val="20"/>
              </w:rPr>
              <w:t xml:space="preserve"> estabelecidas pela Antaq, por ocorrência;</w:t>
            </w:r>
          </w:p>
        </w:tc>
        <w:tc>
          <w:tcPr>
            <w:tcW w:w="850" w:type="dxa"/>
          </w:tcPr>
          <w:p w14:paraId="487F9DCD"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3</w:t>
            </w:r>
          </w:p>
        </w:tc>
        <w:tc>
          <w:tcPr>
            <w:tcW w:w="1843" w:type="dxa"/>
          </w:tcPr>
          <w:p w14:paraId="62D59C95"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5</w:t>
            </w:r>
          </w:p>
        </w:tc>
        <w:tc>
          <w:tcPr>
            <w:tcW w:w="1843" w:type="dxa"/>
          </w:tcPr>
          <w:p w14:paraId="37E4FB89" w14:textId="77777777" w:rsidR="00FC08A2" w:rsidRPr="00DA0A64" w:rsidRDefault="00FC08A2" w:rsidP="0066385E">
            <w:pPr>
              <w:autoSpaceDE w:val="0"/>
              <w:autoSpaceDN w:val="0"/>
              <w:adjustRightInd w:val="0"/>
              <w:jc w:val="both"/>
              <w:rPr>
                <w:rFonts w:cs="Arial"/>
                <w:bCs/>
                <w:szCs w:val="20"/>
              </w:rPr>
            </w:pPr>
            <w:r w:rsidRPr="00DA0A64">
              <w:rPr>
                <w:rFonts w:cs="Arial"/>
                <w:bCs/>
                <w:szCs w:val="20"/>
              </w:rPr>
              <w:t>6</w:t>
            </w:r>
          </w:p>
        </w:tc>
      </w:tr>
      <w:tr w:rsidR="00DA0A64" w:rsidRPr="00DA0A64" w14:paraId="54CF2C82" w14:textId="77777777" w:rsidTr="00CC65ED">
        <w:tc>
          <w:tcPr>
            <w:tcW w:w="7508" w:type="dxa"/>
            <w:gridSpan w:val="4"/>
          </w:tcPr>
          <w:p w14:paraId="1EAE1EB1" w14:textId="77777777" w:rsidR="00FC08A2" w:rsidRPr="00DA0A64" w:rsidRDefault="00FC08A2" w:rsidP="0066385E">
            <w:pPr>
              <w:autoSpaceDE w:val="0"/>
              <w:autoSpaceDN w:val="0"/>
              <w:adjustRightInd w:val="0"/>
              <w:jc w:val="both"/>
              <w:rPr>
                <w:rFonts w:cs="Arial"/>
                <w:bCs/>
                <w:szCs w:val="20"/>
              </w:rPr>
            </w:pPr>
            <w:r w:rsidRPr="00DA0A64">
              <w:rPr>
                <w:rFonts w:cs="Arial"/>
                <w:szCs w:val="20"/>
              </w:rPr>
              <w:t>TOTAL DE PONTOS PERDIDOS</w:t>
            </w:r>
          </w:p>
        </w:tc>
        <w:tc>
          <w:tcPr>
            <w:tcW w:w="1843" w:type="dxa"/>
          </w:tcPr>
          <w:p w14:paraId="18DC41A6" w14:textId="77777777" w:rsidR="00FC08A2" w:rsidRPr="00DA0A64" w:rsidRDefault="00FC08A2" w:rsidP="0066385E">
            <w:pPr>
              <w:autoSpaceDE w:val="0"/>
              <w:autoSpaceDN w:val="0"/>
              <w:adjustRightInd w:val="0"/>
              <w:jc w:val="both"/>
              <w:rPr>
                <w:rFonts w:cs="Arial"/>
                <w:bCs/>
                <w:szCs w:val="20"/>
              </w:rPr>
            </w:pPr>
          </w:p>
        </w:tc>
      </w:tr>
      <w:tr w:rsidR="00DA0A64" w:rsidRPr="00DA0A64" w14:paraId="352F93F3" w14:textId="77777777" w:rsidTr="00CC65ED">
        <w:tc>
          <w:tcPr>
            <w:tcW w:w="7508" w:type="dxa"/>
            <w:gridSpan w:val="4"/>
          </w:tcPr>
          <w:p w14:paraId="2AEB61B4" w14:textId="77777777" w:rsidR="00FC08A2" w:rsidRPr="00DA0A64" w:rsidRDefault="00FC08A2" w:rsidP="0066385E">
            <w:pPr>
              <w:autoSpaceDE w:val="0"/>
              <w:autoSpaceDN w:val="0"/>
              <w:adjustRightInd w:val="0"/>
              <w:jc w:val="both"/>
              <w:rPr>
                <w:rFonts w:cs="Arial"/>
                <w:bCs/>
                <w:szCs w:val="20"/>
              </w:rPr>
            </w:pPr>
            <w:r w:rsidRPr="00DA0A64">
              <w:rPr>
                <w:rFonts w:cs="Arial"/>
                <w:szCs w:val="20"/>
              </w:rPr>
              <w:t>PONTUAÇÃO TOTAL (100 PONTOS - PONTOS PERDIDOS)</w:t>
            </w:r>
          </w:p>
        </w:tc>
        <w:tc>
          <w:tcPr>
            <w:tcW w:w="1843" w:type="dxa"/>
          </w:tcPr>
          <w:p w14:paraId="230FEE24" w14:textId="77777777" w:rsidR="00FC08A2" w:rsidRPr="00DA0A64" w:rsidRDefault="00FC08A2" w:rsidP="0066385E">
            <w:pPr>
              <w:autoSpaceDE w:val="0"/>
              <w:autoSpaceDN w:val="0"/>
              <w:adjustRightInd w:val="0"/>
              <w:jc w:val="both"/>
              <w:rPr>
                <w:rFonts w:cs="Arial"/>
                <w:bCs/>
                <w:szCs w:val="20"/>
              </w:rPr>
            </w:pPr>
          </w:p>
        </w:tc>
      </w:tr>
      <w:tr w:rsidR="00DA0A64" w:rsidRPr="00DA0A64" w14:paraId="1BFA830D" w14:textId="77777777" w:rsidTr="00CC65ED">
        <w:tc>
          <w:tcPr>
            <w:tcW w:w="7508" w:type="dxa"/>
            <w:gridSpan w:val="4"/>
          </w:tcPr>
          <w:p w14:paraId="7D4BA5F1" w14:textId="77777777" w:rsidR="00FC08A2" w:rsidRPr="00DA0A64" w:rsidRDefault="00FC08A2" w:rsidP="0066385E">
            <w:pPr>
              <w:autoSpaceDE w:val="0"/>
              <w:autoSpaceDN w:val="0"/>
              <w:adjustRightInd w:val="0"/>
              <w:jc w:val="both"/>
              <w:rPr>
                <w:rFonts w:cs="Arial"/>
                <w:bCs/>
                <w:szCs w:val="20"/>
              </w:rPr>
            </w:pPr>
            <w:r w:rsidRPr="00DA0A64">
              <w:rPr>
                <w:rFonts w:cs="Arial"/>
                <w:szCs w:val="20"/>
              </w:rPr>
              <w:t>CONCEITO DA AVALIAÇÃO (A- Ótimo; B - Bom; C- Regular; D - Insatisfatório)</w:t>
            </w:r>
          </w:p>
        </w:tc>
        <w:tc>
          <w:tcPr>
            <w:tcW w:w="1843" w:type="dxa"/>
          </w:tcPr>
          <w:p w14:paraId="5A2A187E" w14:textId="77777777" w:rsidR="00FC08A2" w:rsidRPr="00DA0A64" w:rsidRDefault="00FC08A2" w:rsidP="0066385E">
            <w:pPr>
              <w:autoSpaceDE w:val="0"/>
              <w:autoSpaceDN w:val="0"/>
              <w:adjustRightInd w:val="0"/>
              <w:jc w:val="both"/>
              <w:rPr>
                <w:rFonts w:cs="Arial"/>
                <w:bCs/>
                <w:szCs w:val="20"/>
              </w:rPr>
            </w:pPr>
          </w:p>
        </w:tc>
      </w:tr>
    </w:tbl>
    <w:p w14:paraId="74824510" w14:textId="3BDC7E30" w:rsidR="00FC08A2" w:rsidRPr="00DA0A64" w:rsidRDefault="00FC08A2" w:rsidP="00FC08A2">
      <w:pPr>
        <w:autoSpaceDE w:val="0"/>
        <w:autoSpaceDN w:val="0"/>
        <w:adjustRightInd w:val="0"/>
        <w:jc w:val="both"/>
        <w:rPr>
          <w:rFonts w:cs="Arial"/>
          <w:bCs/>
          <w:sz w:val="22"/>
          <w:szCs w:val="22"/>
        </w:rPr>
      </w:pPr>
    </w:p>
    <w:p w14:paraId="44A0719F" w14:textId="24F3A128" w:rsidR="00FC08A2" w:rsidRPr="00DA0A64" w:rsidRDefault="00FC08A2" w:rsidP="00FC08A2">
      <w:pPr>
        <w:numPr>
          <w:ilvl w:val="1"/>
          <w:numId w:val="1"/>
        </w:numPr>
        <w:spacing w:before="120" w:after="120" w:line="276" w:lineRule="auto"/>
        <w:ind w:left="284" w:firstLine="0"/>
        <w:jc w:val="both"/>
        <w:rPr>
          <w:rFonts w:cs="Arial"/>
          <w:sz w:val="22"/>
          <w:szCs w:val="22"/>
        </w:rPr>
      </w:pPr>
      <w:r w:rsidRPr="00DA0A64">
        <w:rPr>
          <w:rFonts w:cs="Arial"/>
          <w:sz w:val="22"/>
          <w:szCs w:val="22"/>
        </w:rPr>
        <w:t>Apurados os pontos perdidos, o percentual de ajuste da fatura se dará na proporção da tabela abaixo:</w:t>
      </w:r>
    </w:p>
    <w:tbl>
      <w:tblPr>
        <w:tblStyle w:val="Tabelacomgrade"/>
        <w:tblW w:w="9351" w:type="dxa"/>
        <w:tblInd w:w="0" w:type="dxa"/>
        <w:tblLook w:val="04A0" w:firstRow="1" w:lastRow="0" w:firstColumn="1" w:lastColumn="0" w:noHBand="0" w:noVBand="1"/>
      </w:tblPr>
      <w:tblGrid>
        <w:gridCol w:w="1838"/>
        <w:gridCol w:w="3824"/>
        <w:gridCol w:w="3689"/>
      </w:tblGrid>
      <w:tr w:rsidR="003B18D2" w:rsidRPr="00DA0A64" w14:paraId="6FD61F6B" w14:textId="77777777" w:rsidTr="0066385E">
        <w:tc>
          <w:tcPr>
            <w:tcW w:w="1838" w:type="dxa"/>
            <w:shd w:val="clear" w:color="auto" w:fill="auto"/>
          </w:tcPr>
          <w:p w14:paraId="536689F8" w14:textId="77777777" w:rsidR="00FC08A2" w:rsidRPr="00DA0A64" w:rsidRDefault="00FC08A2" w:rsidP="0066385E">
            <w:pPr>
              <w:autoSpaceDE w:val="0"/>
              <w:autoSpaceDN w:val="0"/>
              <w:adjustRightInd w:val="0"/>
              <w:jc w:val="center"/>
              <w:rPr>
                <w:rFonts w:cs="Arial"/>
                <w:szCs w:val="20"/>
              </w:rPr>
            </w:pPr>
            <w:r w:rsidRPr="00DA0A64">
              <w:rPr>
                <w:rFonts w:cs="Arial"/>
                <w:bCs/>
                <w:szCs w:val="20"/>
              </w:rPr>
              <w:t>CONCEITO</w:t>
            </w:r>
          </w:p>
        </w:tc>
        <w:tc>
          <w:tcPr>
            <w:tcW w:w="3824" w:type="dxa"/>
            <w:shd w:val="clear" w:color="auto" w:fill="auto"/>
          </w:tcPr>
          <w:p w14:paraId="1FC7D29A" w14:textId="77777777" w:rsidR="00FC08A2" w:rsidRPr="00DA0A64" w:rsidRDefault="00FC08A2" w:rsidP="0066385E">
            <w:pPr>
              <w:autoSpaceDE w:val="0"/>
              <w:autoSpaceDN w:val="0"/>
              <w:adjustRightInd w:val="0"/>
              <w:jc w:val="center"/>
              <w:rPr>
                <w:rFonts w:cs="Arial"/>
                <w:szCs w:val="20"/>
              </w:rPr>
            </w:pPr>
            <w:r w:rsidRPr="00DA0A64">
              <w:rPr>
                <w:rFonts w:cs="Arial"/>
                <w:bCs/>
                <w:szCs w:val="20"/>
              </w:rPr>
              <w:t>PONTUAÇÃO TOTAL</w:t>
            </w:r>
          </w:p>
        </w:tc>
        <w:tc>
          <w:tcPr>
            <w:tcW w:w="3689" w:type="dxa"/>
            <w:shd w:val="clear" w:color="auto" w:fill="auto"/>
          </w:tcPr>
          <w:p w14:paraId="4FE719D0" w14:textId="77777777" w:rsidR="00FC08A2" w:rsidRPr="00DA0A64" w:rsidRDefault="00FC08A2" w:rsidP="0066385E">
            <w:pPr>
              <w:autoSpaceDE w:val="0"/>
              <w:autoSpaceDN w:val="0"/>
              <w:adjustRightInd w:val="0"/>
              <w:jc w:val="center"/>
              <w:rPr>
                <w:rFonts w:cs="Arial"/>
                <w:szCs w:val="20"/>
              </w:rPr>
            </w:pPr>
            <w:r w:rsidRPr="00DA0A64">
              <w:rPr>
                <w:rFonts w:cs="Arial"/>
                <w:bCs/>
                <w:szCs w:val="20"/>
              </w:rPr>
              <w:t>PERCENTUAL DE GLOSA DA FATURA MENSAL</w:t>
            </w:r>
          </w:p>
        </w:tc>
      </w:tr>
      <w:tr w:rsidR="003B18D2" w:rsidRPr="00DA0A64" w14:paraId="657E1566" w14:textId="77777777" w:rsidTr="0066385E">
        <w:tc>
          <w:tcPr>
            <w:tcW w:w="1838" w:type="dxa"/>
            <w:shd w:val="clear" w:color="auto" w:fill="auto"/>
          </w:tcPr>
          <w:p w14:paraId="04804A6E" w14:textId="77777777" w:rsidR="00FC08A2" w:rsidRPr="00DA0A64" w:rsidRDefault="00FC08A2" w:rsidP="0066385E">
            <w:pPr>
              <w:autoSpaceDE w:val="0"/>
              <w:autoSpaceDN w:val="0"/>
              <w:adjustRightInd w:val="0"/>
              <w:jc w:val="center"/>
              <w:rPr>
                <w:rFonts w:cs="Arial"/>
                <w:szCs w:val="20"/>
              </w:rPr>
            </w:pPr>
            <w:r w:rsidRPr="00DA0A64">
              <w:rPr>
                <w:rFonts w:cs="Arial"/>
                <w:szCs w:val="20"/>
              </w:rPr>
              <w:t>A</w:t>
            </w:r>
          </w:p>
        </w:tc>
        <w:tc>
          <w:tcPr>
            <w:tcW w:w="3824" w:type="dxa"/>
            <w:shd w:val="clear" w:color="auto" w:fill="auto"/>
          </w:tcPr>
          <w:p w14:paraId="48B4097E" w14:textId="77777777" w:rsidR="00FC08A2" w:rsidRPr="00DA0A64" w:rsidRDefault="00FC08A2" w:rsidP="0066385E">
            <w:pPr>
              <w:autoSpaceDE w:val="0"/>
              <w:autoSpaceDN w:val="0"/>
              <w:adjustRightInd w:val="0"/>
              <w:jc w:val="both"/>
              <w:rPr>
                <w:rFonts w:cs="Arial"/>
                <w:szCs w:val="20"/>
              </w:rPr>
            </w:pPr>
            <w:r w:rsidRPr="00DA0A64">
              <w:rPr>
                <w:rFonts w:cs="Arial"/>
                <w:szCs w:val="20"/>
              </w:rPr>
              <w:t>Maior ou igual a 96</w:t>
            </w:r>
          </w:p>
        </w:tc>
        <w:tc>
          <w:tcPr>
            <w:tcW w:w="3689" w:type="dxa"/>
            <w:shd w:val="clear" w:color="auto" w:fill="auto"/>
          </w:tcPr>
          <w:p w14:paraId="3DDD1511" w14:textId="77777777" w:rsidR="00FC08A2" w:rsidRPr="00DA0A64" w:rsidRDefault="00FC08A2" w:rsidP="0066385E">
            <w:pPr>
              <w:autoSpaceDE w:val="0"/>
              <w:autoSpaceDN w:val="0"/>
              <w:adjustRightInd w:val="0"/>
              <w:jc w:val="center"/>
              <w:rPr>
                <w:rFonts w:cs="Arial"/>
                <w:szCs w:val="20"/>
              </w:rPr>
            </w:pPr>
            <w:r w:rsidRPr="00DA0A64">
              <w:rPr>
                <w:rFonts w:cs="Arial"/>
                <w:szCs w:val="20"/>
              </w:rPr>
              <w:t>-</w:t>
            </w:r>
          </w:p>
        </w:tc>
      </w:tr>
      <w:tr w:rsidR="003B18D2" w:rsidRPr="00DA0A64" w14:paraId="6C2C2BCF" w14:textId="77777777" w:rsidTr="0066385E">
        <w:tc>
          <w:tcPr>
            <w:tcW w:w="1838" w:type="dxa"/>
            <w:shd w:val="clear" w:color="auto" w:fill="auto"/>
          </w:tcPr>
          <w:p w14:paraId="3107DD4C" w14:textId="77777777" w:rsidR="00FC08A2" w:rsidRPr="00DA0A64" w:rsidRDefault="00FC08A2" w:rsidP="0066385E">
            <w:pPr>
              <w:autoSpaceDE w:val="0"/>
              <w:autoSpaceDN w:val="0"/>
              <w:adjustRightInd w:val="0"/>
              <w:jc w:val="center"/>
              <w:rPr>
                <w:rFonts w:cs="Arial"/>
                <w:szCs w:val="20"/>
              </w:rPr>
            </w:pPr>
            <w:r w:rsidRPr="00DA0A64">
              <w:rPr>
                <w:rFonts w:cs="Arial"/>
                <w:szCs w:val="20"/>
              </w:rPr>
              <w:t>B</w:t>
            </w:r>
          </w:p>
        </w:tc>
        <w:tc>
          <w:tcPr>
            <w:tcW w:w="3824" w:type="dxa"/>
            <w:shd w:val="clear" w:color="auto" w:fill="auto"/>
          </w:tcPr>
          <w:p w14:paraId="15C16E06" w14:textId="77777777" w:rsidR="00FC08A2" w:rsidRPr="00DA0A64" w:rsidRDefault="00FC08A2" w:rsidP="0066385E">
            <w:pPr>
              <w:autoSpaceDE w:val="0"/>
              <w:autoSpaceDN w:val="0"/>
              <w:adjustRightInd w:val="0"/>
              <w:jc w:val="both"/>
              <w:rPr>
                <w:rFonts w:cs="Arial"/>
                <w:szCs w:val="20"/>
              </w:rPr>
            </w:pPr>
            <w:r w:rsidRPr="00DA0A64">
              <w:rPr>
                <w:rFonts w:cs="Arial"/>
                <w:szCs w:val="20"/>
              </w:rPr>
              <w:t>Maior que 90 e menor que 96</w:t>
            </w:r>
          </w:p>
        </w:tc>
        <w:tc>
          <w:tcPr>
            <w:tcW w:w="3689" w:type="dxa"/>
            <w:shd w:val="clear" w:color="auto" w:fill="auto"/>
          </w:tcPr>
          <w:p w14:paraId="38A6A59C" w14:textId="77777777" w:rsidR="00FC08A2" w:rsidRPr="00DA0A64" w:rsidRDefault="00FC08A2" w:rsidP="0066385E">
            <w:pPr>
              <w:autoSpaceDE w:val="0"/>
              <w:autoSpaceDN w:val="0"/>
              <w:adjustRightInd w:val="0"/>
              <w:jc w:val="center"/>
              <w:rPr>
                <w:rFonts w:cs="Arial"/>
                <w:szCs w:val="20"/>
              </w:rPr>
            </w:pPr>
            <w:r w:rsidRPr="00DA0A64">
              <w:rPr>
                <w:rFonts w:cs="Arial"/>
                <w:szCs w:val="20"/>
              </w:rPr>
              <w:t>2,00%</w:t>
            </w:r>
          </w:p>
        </w:tc>
      </w:tr>
      <w:tr w:rsidR="003B18D2" w:rsidRPr="00DA0A64" w14:paraId="26D89AC7" w14:textId="77777777" w:rsidTr="0066385E">
        <w:tc>
          <w:tcPr>
            <w:tcW w:w="1838" w:type="dxa"/>
            <w:shd w:val="clear" w:color="auto" w:fill="auto"/>
          </w:tcPr>
          <w:p w14:paraId="759991BE" w14:textId="77777777" w:rsidR="00FC08A2" w:rsidRPr="00DA0A64" w:rsidRDefault="00FC08A2" w:rsidP="0066385E">
            <w:pPr>
              <w:autoSpaceDE w:val="0"/>
              <w:autoSpaceDN w:val="0"/>
              <w:adjustRightInd w:val="0"/>
              <w:jc w:val="center"/>
              <w:rPr>
                <w:rFonts w:cs="Arial"/>
                <w:szCs w:val="20"/>
              </w:rPr>
            </w:pPr>
            <w:r w:rsidRPr="00DA0A64">
              <w:rPr>
                <w:rFonts w:cs="Arial"/>
                <w:szCs w:val="20"/>
              </w:rPr>
              <w:t>C</w:t>
            </w:r>
          </w:p>
        </w:tc>
        <w:tc>
          <w:tcPr>
            <w:tcW w:w="3824" w:type="dxa"/>
            <w:shd w:val="clear" w:color="auto" w:fill="auto"/>
          </w:tcPr>
          <w:p w14:paraId="1F791572" w14:textId="77777777" w:rsidR="00FC08A2" w:rsidRPr="00DA0A64" w:rsidRDefault="00FC08A2" w:rsidP="0066385E">
            <w:pPr>
              <w:autoSpaceDE w:val="0"/>
              <w:autoSpaceDN w:val="0"/>
              <w:adjustRightInd w:val="0"/>
              <w:jc w:val="both"/>
              <w:rPr>
                <w:rFonts w:cs="Arial"/>
                <w:szCs w:val="20"/>
              </w:rPr>
            </w:pPr>
            <w:r w:rsidRPr="00DA0A64">
              <w:rPr>
                <w:rFonts w:cs="Arial"/>
                <w:szCs w:val="20"/>
              </w:rPr>
              <w:t>Maior que 84 e menor que 90</w:t>
            </w:r>
          </w:p>
        </w:tc>
        <w:tc>
          <w:tcPr>
            <w:tcW w:w="3689" w:type="dxa"/>
            <w:shd w:val="clear" w:color="auto" w:fill="auto"/>
          </w:tcPr>
          <w:p w14:paraId="03386DCA" w14:textId="77777777" w:rsidR="00FC08A2" w:rsidRPr="00DA0A64" w:rsidRDefault="00FC08A2" w:rsidP="0066385E">
            <w:pPr>
              <w:autoSpaceDE w:val="0"/>
              <w:autoSpaceDN w:val="0"/>
              <w:adjustRightInd w:val="0"/>
              <w:jc w:val="center"/>
              <w:rPr>
                <w:rFonts w:cs="Arial"/>
                <w:szCs w:val="20"/>
              </w:rPr>
            </w:pPr>
            <w:r w:rsidRPr="00DA0A64">
              <w:rPr>
                <w:rFonts w:cs="Arial"/>
                <w:szCs w:val="20"/>
              </w:rPr>
              <w:t>3,00%</w:t>
            </w:r>
          </w:p>
        </w:tc>
      </w:tr>
      <w:tr w:rsidR="003B18D2" w:rsidRPr="00DA0A64" w14:paraId="168800A7" w14:textId="77777777" w:rsidTr="0066385E">
        <w:tc>
          <w:tcPr>
            <w:tcW w:w="1838" w:type="dxa"/>
            <w:shd w:val="clear" w:color="auto" w:fill="auto"/>
          </w:tcPr>
          <w:p w14:paraId="5EB68734" w14:textId="77777777" w:rsidR="00FC08A2" w:rsidRPr="00DA0A64" w:rsidRDefault="00FC08A2" w:rsidP="0066385E">
            <w:pPr>
              <w:autoSpaceDE w:val="0"/>
              <w:autoSpaceDN w:val="0"/>
              <w:adjustRightInd w:val="0"/>
              <w:jc w:val="center"/>
              <w:rPr>
                <w:rFonts w:cs="Arial"/>
                <w:szCs w:val="20"/>
              </w:rPr>
            </w:pPr>
            <w:r w:rsidRPr="00DA0A64">
              <w:rPr>
                <w:rFonts w:cs="Arial"/>
                <w:szCs w:val="20"/>
              </w:rPr>
              <w:t>D</w:t>
            </w:r>
          </w:p>
        </w:tc>
        <w:tc>
          <w:tcPr>
            <w:tcW w:w="3824" w:type="dxa"/>
            <w:shd w:val="clear" w:color="auto" w:fill="auto"/>
          </w:tcPr>
          <w:p w14:paraId="1B6DCE9A" w14:textId="77777777" w:rsidR="00FC08A2" w:rsidRPr="00DA0A64" w:rsidRDefault="00FC08A2" w:rsidP="0066385E">
            <w:pPr>
              <w:autoSpaceDE w:val="0"/>
              <w:autoSpaceDN w:val="0"/>
              <w:adjustRightInd w:val="0"/>
              <w:jc w:val="both"/>
              <w:rPr>
                <w:rFonts w:cs="Arial"/>
                <w:szCs w:val="20"/>
              </w:rPr>
            </w:pPr>
            <w:r w:rsidRPr="00DA0A64">
              <w:rPr>
                <w:rFonts w:cs="Arial"/>
                <w:szCs w:val="20"/>
              </w:rPr>
              <w:t>Menor ou igual a 84</w:t>
            </w:r>
          </w:p>
        </w:tc>
        <w:tc>
          <w:tcPr>
            <w:tcW w:w="3689" w:type="dxa"/>
            <w:shd w:val="clear" w:color="auto" w:fill="auto"/>
          </w:tcPr>
          <w:p w14:paraId="5E9BB552" w14:textId="77777777" w:rsidR="00FC08A2" w:rsidRPr="00DA0A64" w:rsidRDefault="00FC08A2" w:rsidP="0066385E">
            <w:pPr>
              <w:autoSpaceDE w:val="0"/>
              <w:autoSpaceDN w:val="0"/>
              <w:adjustRightInd w:val="0"/>
              <w:jc w:val="center"/>
              <w:rPr>
                <w:rFonts w:cs="Arial"/>
                <w:szCs w:val="20"/>
              </w:rPr>
            </w:pPr>
            <w:r w:rsidRPr="00DA0A64">
              <w:rPr>
                <w:rFonts w:cs="Arial"/>
                <w:szCs w:val="20"/>
              </w:rPr>
              <w:t>4,00%</w:t>
            </w:r>
          </w:p>
        </w:tc>
      </w:tr>
    </w:tbl>
    <w:p w14:paraId="66AD8A21" w14:textId="77777777" w:rsidR="007B7E1C" w:rsidRPr="00DC6AE3" w:rsidRDefault="007B7E1C" w:rsidP="008005F5">
      <w:pPr>
        <w:pStyle w:val="PargrafodaLista"/>
        <w:keepNext/>
        <w:keepLines/>
        <w:numPr>
          <w:ilvl w:val="1"/>
          <w:numId w:val="4"/>
        </w:numPr>
        <w:spacing w:before="120" w:after="120" w:line="276" w:lineRule="auto"/>
        <w:contextualSpacing w:val="0"/>
        <w:jc w:val="both"/>
        <w:outlineLvl w:val="0"/>
        <w:rPr>
          <w:rFonts w:eastAsiaTheme="majorEastAsia" w:cs="Arial"/>
          <w:b/>
          <w:bCs/>
          <w:vanish/>
          <w:color w:val="FF0000"/>
          <w:szCs w:val="20"/>
        </w:rPr>
      </w:pPr>
    </w:p>
    <w:p w14:paraId="08710AA4" w14:textId="77777777" w:rsidR="00822758" w:rsidRPr="007229EB" w:rsidRDefault="00822758" w:rsidP="000D390A">
      <w:pPr>
        <w:pStyle w:val="Nivel1"/>
        <w:rPr>
          <w:rFonts w:cs="Arial"/>
          <w:color w:val="auto"/>
          <w:sz w:val="22"/>
          <w:szCs w:val="22"/>
        </w:rPr>
      </w:pPr>
      <w:bookmarkStart w:id="1" w:name="_Hlk528056197"/>
      <w:r w:rsidRPr="007229EB">
        <w:rPr>
          <w:rFonts w:cs="Arial"/>
          <w:color w:val="auto"/>
          <w:sz w:val="22"/>
          <w:szCs w:val="22"/>
        </w:rPr>
        <w:t>MATERIAIS A SEREM DISPONIBILIZADOS</w:t>
      </w:r>
    </w:p>
    <w:p w14:paraId="00EF7D37" w14:textId="1B980749" w:rsidR="00E66BA6" w:rsidRPr="007229EB" w:rsidRDefault="00E66BA6" w:rsidP="00E66BA6">
      <w:pPr>
        <w:numPr>
          <w:ilvl w:val="1"/>
          <w:numId w:val="1"/>
        </w:numPr>
        <w:spacing w:before="120" w:after="120" w:line="276" w:lineRule="auto"/>
        <w:ind w:left="284" w:firstLine="0"/>
        <w:jc w:val="both"/>
        <w:rPr>
          <w:rFonts w:cs="Arial"/>
          <w:sz w:val="22"/>
          <w:szCs w:val="22"/>
        </w:rPr>
      </w:pPr>
      <w:r w:rsidRPr="007229EB">
        <w:rPr>
          <w:rFonts w:cs="Arial"/>
          <w:sz w:val="22"/>
          <w:szCs w:val="22"/>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7EA34745" w14:textId="680F9EAF" w:rsidR="00E66BA6" w:rsidRPr="007229EB" w:rsidRDefault="00E66BA6" w:rsidP="00E66BA6">
      <w:pPr>
        <w:numPr>
          <w:ilvl w:val="1"/>
          <w:numId w:val="1"/>
        </w:numPr>
        <w:spacing w:before="120" w:after="120" w:line="276" w:lineRule="auto"/>
        <w:ind w:left="284" w:firstLine="0"/>
        <w:jc w:val="both"/>
        <w:rPr>
          <w:rFonts w:cs="Arial"/>
          <w:sz w:val="22"/>
          <w:szCs w:val="22"/>
        </w:rPr>
      </w:pPr>
      <w:r w:rsidRPr="007229EB">
        <w:rPr>
          <w:rFonts w:cs="Arial"/>
          <w:sz w:val="22"/>
          <w:szCs w:val="22"/>
        </w:rPr>
        <w:t>A empresa CONTRATADA deverá dispor de caminhão fechado c</w:t>
      </w:r>
      <w:r w:rsidR="007229EB" w:rsidRPr="007229EB">
        <w:rPr>
          <w:rFonts w:cs="Arial"/>
          <w:sz w:val="22"/>
          <w:szCs w:val="22"/>
        </w:rPr>
        <w:t>ompatível com a demanda contratada,</w:t>
      </w:r>
      <w:r w:rsidRPr="007229EB">
        <w:rPr>
          <w:rFonts w:cs="Arial"/>
          <w:sz w:val="22"/>
          <w:szCs w:val="22"/>
        </w:rPr>
        <w:t xml:space="preserve"> para realizar a mudança preterida.</w:t>
      </w:r>
    </w:p>
    <w:p w14:paraId="58F22D48" w14:textId="77777777" w:rsidR="00E66BA6" w:rsidRPr="007229EB" w:rsidRDefault="00E66BA6" w:rsidP="00E66BA6">
      <w:pPr>
        <w:numPr>
          <w:ilvl w:val="1"/>
          <w:numId w:val="1"/>
        </w:numPr>
        <w:spacing w:before="120" w:after="120" w:line="276" w:lineRule="auto"/>
        <w:ind w:left="284" w:firstLine="0"/>
        <w:jc w:val="both"/>
        <w:rPr>
          <w:rFonts w:cs="Arial"/>
          <w:sz w:val="22"/>
          <w:szCs w:val="22"/>
        </w:rPr>
      </w:pPr>
      <w:r w:rsidRPr="007229EB">
        <w:rPr>
          <w:rFonts w:cs="Arial"/>
          <w:sz w:val="22"/>
          <w:szCs w:val="22"/>
        </w:rPr>
        <w:t>O caminhão deverá estar regular em todas as exigências legais e físicas para que minimize os riscos de acidentes e interdições.</w:t>
      </w:r>
    </w:p>
    <w:p w14:paraId="5DC01B44" w14:textId="77777777" w:rsidR="00E66BA6" w:rsidRPr="007229EB" w:rsidRDefault="00E66BA6" w:rsidP="00E66BA6">
      <w:pPr>
        <w:numPr>
          <w:ilvl w:val="1"/>
          <w:numId w:val="1"/>
        </w:numPr>
        <w:spacing w:before="120" w:after="120" w:line="276" w:lineRule="auto"/>
        <w:ind w:left="284" w:firstLine="0"/>
        <w:jc w:val="both"/>
        <w:rPr>
          <w:rFonts w:cs="Arial"/>
          <w:sz w:val="22"/>
          <w:szCs w:val="22"/>
        </w:rPr>
      </w:pPr>
      <w:r w:rsidRPr="007229EB">
        <w:rPr>
          <w:rFonts w:cs="Arial"/>
          <w:sz w:val="22"/>
          <w:szCs w:val="22"/>
        </w:rPr>
        <w:lastRenderedPageBreak/>
        <w:t>Utilizar caminhão e materiais para embalar a mobília/bagagem, de acordo com as exigências constantes neste termo de referência, quando possível.</w:t>
      </w:r>
    </w:p>
    <w:bookmarkEnd w:id="1"/>
    <w:p w14:paraId="01554741" w14:textId="77777777" w:rsidR="00DB206B" w:rsidRPr="007229EB" w:rsidRDefault="00DB206B" w:rsidP="000D390A">
      <w:pPr>
        <w:pStyle w:val="Nivel1"/>
        <w:rPr>
          <w:rFonts w:cs="Arial"/>
          <w:color w:val="auto"/>
          <w:sz w:val="22"/>
          <w:szCs w:val="22"/>
        </w:rPr>
      </w:pPr>
      <w:r w:rsidRPr="007229EB">
        <w:rPr>
          <w:rFonts w:cs="Arial"/>
          <w:color w:val="auto"/>
          <w:sz w:val="22"/>
          <w:szCs w:val="22"/>
        </w:rPr>
        <w:t xml:space="preserve">OBRIGAÇÕES DA </w:t>
      </w:r>
      <w:r w:rsidR="00D52359" w:rsidRPr="007229EB">
        <w:rPr>
          <w:rFonts w:cs="Arial"/>
          <w:color w:val="auto"/>
          <w:sz w:val="22"/>
          <w:szCs w:val="22"/>
        </w:rPr>
        <w:t>CONTRATANTE</w:t>
      </w:r>
    </w:p>
    <w:p w14:paraId="3F9B2F6D" w14:textId="77777777"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E</w:t>
      </w:r>
      <w:r w:rsidR="00DB206B" w:rsidRPr="007229EB">
        <w:rPr>
          <w:rFonts w:eastAsiaTheme="minorHAnsi" w:cs="Arial"/>
          <w:sz w:val="22"/>
          <w:szCs w:val="22"/>
          <w:lang w:eastAsia="en-US"/>
        </w:rPr>
        <w:t xml:space="preserve">xigir o cumprimento de todas as obrigações assumidas pela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de acordo com as cláusulas contratuais e os termos de sua proposta;</w:t>
      </w:r>
    </w:p>
    <w:p w14:paraId="3F7745E3" w14:textId="77777777"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E</w:t>
      </w:r>
      <w:r w:rsidR="00DB206B" w:rsidRPr="007229EB">
        <w:rPr>
          <w:rFonts w:eastAsiaTheme="minorHAnsi" w:cs="Arial"/>
          <w:sz w:val="22"/>
          <w:szCs w:val="22"/>
          <w:lang w:eastAsia="en-US"/>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N</w:t>
      </w:r>
      <w:r w:rsidR="00DB206B" w:rsidRPr="007229EB">
        <w:rPr>
          <w:rFonts w:eastAsiaTheme="minorHAnsi" w:cs="Arial"/>
          <w:sz w:val="22"/>
          <w:szCs w:val="22"/>
          <w:lang w:eastAsia="en-US"/>
        </w:rPr>
        <w:t xml:space="preserve">otificar 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xml:space="preserve"> por escrito da ocorrência de eventuais imperfeições</w:t>
      </w:r>
      <w:r w:rsidR="001C3AB6" w:rsidRPr="007229EB">
        <w:rPr>
          <w:rFonts w:eastAsiaTheme="minorHAnsi" w:cs="Arial"/>
          <w:sz w:val="22"/>
          <w:szCs w:val="22"/>
          <w:lang w:eastAsia="en-US"/>
        </w:rPr>
        <w:t>, falhas ou irregularidades constatadas</w:t>
      </w:r>
      <w:r w:rsidR="00DB206B" w:rsidRPr="007229EB">
        <w:rPr>
          <w:rFonts w:eastAsiaTheme="minorHAnsi" w:cs="Arial"/>
          <w:sz w:val="22"/>
          <w:szCs w:val="22"/>
          <w:lang w:eastAsia="en-US"/>
        </w:rPr>
        <w:t xml:space="preserve"> no curso da execução dos serviços, fixando prazo para a sua correção</w:t>
      </w:r>
      <w:r w:rsidR="001C3AB6" w:rsidRPr="007229EB">
        <w:rPr>
          <w:rFonts w:eastAsiaTheme="minorHAnsi" w:cs="Arial"/>
          <w:sz w:val="22"/>
          <w:szCs w:val="22"/>
          <w:lang w:eastAsia="en-US"/>
        </w:rPr>
        <w:t>, certificando-se que as soluções por ela propostas sejam as mais adequadas</w:t>
      </w:r>
      <w:r w:rsidR="00DB206B" w:rsidRPr="007229EB">
        <w:rPr>
          <w:rFonts w:eastAsiaTheme="minorHAnsi" w:cs="Arial"/>
          <w:sz w:val="22"/>
          <w:szCs w:val="22"/>
          <w:lang w:eastAsia="en-US"/>
        </w:rPr>
        <w:t>;</w:t>
      </w:r>
    </w:p>
    <w:p w14:paraId="1BEF3E23" w14:textId="47B567BA"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P</w:t>
      </w:r>
      <w:r w:rsidR="00DB206B" w:rsidRPr="007229EB">
        <w:rPr>
          <w:rFonts w:eastAsiaTheme="minorHAnsi" w:cs="Arial"/>
          <w:sz w:val="22"/>
          <w:szCs w:val="22"/>
          <w:lang w:eastAsia="en-US"/>
        </w:rPr>
        <w:t xml:space="preserve">agar à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xml:space="preserve"> o valor resultante da prestação do serviço, </w:t>
      </w:r>
      <w:r w:rsidR="00F37721" w:rsidRPr="007229EB">
        <w:rPr>
          <w:rFonts w:eastAsiaTheme="minorHAnsi" w:cs="Arial"/>
          <w:sz w:val="22"/>
          <w:szCs w:val="22"/>
          <w:lang w:eastAsia="en-US"/>
        </w:rPr>
        <w:t>no pr</w:t>
      </w:r>
      <w:r w:rsidR="001C3AB6" w:rsidRPr="007229EB">
        <w:rPr>
          <w:rFonts w:eastAsiaTheme="minorHAnsi" w:cs="Arial"/>
          <w:sz w:val="22"/>
          <w:szCs w:val="22"/>
          <w:lang w:eastAsia="en-US"/>
        </w:rPr>
        <w:t>azo e condições estabelecidas neste Termo de Referência</w:t>
      </w:r>
      <w:r w:rsidR="00DB206B" w:rsidRPr="007229EB">
        <w:rPr>
          <w:rFonts w:eastAsiaTheme="minorHAnsi" w:cs="Arial"/>
          <w:sz w:val="22"/>
          <w:szCs w:val="22"/>
          <w:lang w:eastAsia="en-US"/>
        </w:rPr>
        <w:t>;</w:t>
      </w:r>
    </w:p>
    <w:p w14:paraId="442F73D8" w14:textId="4B687D5B" w:rsidR="00E251E0" w:rsidRPr="007229EB" w:rsidRDefault="00E251E0"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 xml:space="preserve">Efetuar as retenções tributárias devidas sobre o valor da </w:t>
      </w:r>
      <w:r w:rsidR="00F627B5" w:rsidRPr="007229EB">
        <w:rPr>
          <w:rFonts w:eastAsiaTheme="minorHAnsi" w:cs="Arial"/>
          <w:sz w:val="22"/>
          <w:szCs w:val="22"/>
          <w:lang w:eastAsia="en-US"/>
        </w:rPr>
        <w:t>Nota Fiscal/F</w:t>
      </w:r>
      <w:r w:rsidR="00DA520E" w:rsidRPr="007229EB">
        <w:rPr>
          <w:rFonts w:eastAsiaTheme="minorHAnsi" w:cs="Arial"/>
          <w:sz w:val="22"/>
          <w:szCs w:val="22"/>
          <w:lang w:eastAsia="en-US"/>
        </w:rPr>
        <w:t xml:space="preserve">atura da contratada, </w:t>
      </w:r>
      <w:r w:rsidR="004E0CC8" w:rsidRPr="007229EB">
        <w:rPr>
          <w:rFonts w:eastAsiaTheme="minorHAnsi" w:cs="Arial"/>
          <w:sz w:val="22"/>
          <w:szCs w:val="22"/>
          <w:lang w:eastAsia="en-US"/>
        </w:rPr>
        <w:t xml:space="preserve">no que couber, </w:t>
      </w:r>
      <w:r w:rsidR="00DA520E" w:rsidRPr="007229EB">
        <w:rPr>
          <w:rFonts w:eastAsiaTheme="minorHAnsi" w:cs="Arial"/>
          <w:sz w:val="22"/>
          <w:szCs w:val="22"/>
          <w:lang w:eastAsia="en-US"/>
        </w:rPr>
        <w:t>em conformidade com</w:t>
      </w:r>
      <w:r w:rsidR="004E0CC8" w:rsidRPr="007229EB">
        <w:rPr>
          <w:rFonts w:eastAsiaTheme="minorHAnsi" w:cs="Arial"/>
          <w:sz w:val="22"/>
          <w:szCs w:val="22"/>
          <w:lang w:eastAsia="en-US"/>
        </w:rPr>
        <w:t xml:space="preserve"> o item 6 do Anexo XI da IN SEGES/</w:t>
      </w:r>
      <w:r w:rsidR="003C58CC" w:rsidRPr="007229EB">
        <w:rPr>
          <w:rFonts w:eastAsiaTheme="minorHAnsi" w:cs="Arial"/>
          <w:sz w:val="22"/>
          <w:szCs w:val="22"/>
          <w:lang w:eastAsia="en-US"/>
        </w:rPr>
        <w:t>MP</w:t>
      </w:r>
      <w:r w:rsidR="004E0CC8" w:rsidRPr="007229EB">
        <w:rPr>
          <w:rFonts w:eastAsiaTheme="minorHAnsi" w:cs="Arial"/>
          <w:sz w:val="22"/>
          <w:szCs w:val="22"/>
          <w:lang w:eastAsia="en-US"/>
        </w:rPr>
        <w:t xml:space="preserve"> n. 5/2017</w:t>
      </w:r>
      <w:r w:rsidR="00DA520E" w:rsidRPr="007229EB">
        <w:rPr>
          <w:rFonts w:eastAsiaTheme="minorHAnsi" w:cs="Arial"/>
          <w:sz w:val="22"/>
          <w:szCs w:val="22"/>
          <w:lang w:eastAsia="en-US"/>
        </w:rPr>
        <w:t>.</w:t>
      </w:r>
    </w:p>
    <w:p w14:paraId="6B7C08F9" w14:textId="77777777" w:rsidR="00DB206B" w:rsidRPr="007229EB"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N</w:t>
      </w:r>
      <w:r w:rsidR="00DB206B" w:rsidRPr="007229EB">
        <w:rPr>
          <w:rFonts w:eastAsiaTheme="minorHAnsi" w:cs="Arial"/>
          <w:sz w:val="22"/>
          <w:szCs w:val="22"/>
          <w:lang w:eastAsia="en-US"/>
        </w:rPr>
        <w:t xml:space="preserve">ão praticar atos de ingerência na administração da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tais como:</w:t>
      </w:r>
    </w:p>
    <w:p w14:paraId="10711AB1" w14:textId="5E7B4BBB" w:rsidR="00DB206B" w:rsidRPr="007229EB"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7229EB">
        <w:rPr>
          <w:rFonts w:eastAsiaTheme="minorHAnsi" w:cs="Arial"/>
          <w:sz w:val="22"/>
          <w:szCs w:val="22"/>
          <w:lang w:eastAsia="en-US"/>
        </w:rPr>
        <w:t>E</w:t>
      </w:r>
      <w:r w:rsidR="00DB206B" w:rsidRPr="007229EB">
        <w:rPr>
          <w:rFonts w:eastAsiaTheme="minorHAnsi" w:cs="Arial"/>
          <w:sz w:val="22"/>
          <w:szCs w:val="22"/>
          <w:lang w:eastAsia="en-US"/>
        </w:rPr>
        <w:t xml:space="preserve">xercer o poder de mando sobre os empregados da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devendo reportar-se somente aos prepostos ou responsáveis por ela indicados, exceto quando o objeto da contratação previr o atendimento direto, tais como nos serviços de recepção e apoio ao usuário;</w:t>
      </w:r>
    </w:p>
    <w:p w14:paraId="5E19B0DF" w14:textId="144E83A7" w:rsidR="00DB206B" w:rsidRPr="007229EB"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7229EB">
        <w:rPr>
          <w:rFonts w:eastAsiaTheme="minorHAnsi" w:cs="Arial"/>
          <w:sz w:val="22"/>
          <w:szCs w:val="22"/>
          <w:lang w:eastAsia="en-US"/>
        </w:rPr>
        <w:t>D</w:t>
      </w:r>
      <w:r w:rsidR="00DB206B" w:rsidRPr="007229EB">
        <w:rPr>
          <w:rFonts w:eastAsiaTheme="minorHAnsi" w:cs="Arial"/>
          <w:sz w:val="22"/>
          <w:szCs w:val="22"/>
          <w:lang w:eastAsia="en-US"/>
        </w:rPr>
        <w:t xml:space="preserve">irecionar a contratação de pessoas para trabalhar nas empresas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s;</w:t>
      </w:r>
    </w:p>
    <w:p w14:paraId="1AA33A2C" w14:textId="35FB52E9" w:rsidR="00DB206B" w:rsidRPr="007229EB"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7229EB">
        <w:rPr>
          <w:rFonts w:eastAsiaTheme="minorHAnsi" w:cs="Arial"/>
          <w:sz w:val="22"/>
          <w:szCs w:val="22"/>
          <w:lang w:eastAsia="en-US"/>
        </w:rPr>
        <w:t>P</w:t>
      </w:r>
      <w:r w:rsidR="00DB206B" w:rsidRPr="007229EB">
        <w:rPr>
          <w:rFonts w:eastAsiaTheme="minorHAnsi" w:cs="Arial"/>
          <w:sz w:val="22"/>
          <w:szCs w:val="22"/>
          <w:lang w:eastAsia="en-US"/>
        </w:rPr>
        <w:t xml:space="preserve">romover ou aceitar o desvio de funções dos trabalhadores da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mediante a utilização destes em atividades distintas daquelas previstas no objeto da contratação e em relação à função específica para a qual o trabalhador foi contratado; e</w:t>
      </w:r>
    </w:p>
    <w:p w14:paraId="22E85C5E" w14:textId="2A5E6B89" w:rsidR="003B11C6" w:rsidRPr="007229EB" w:rsidRDefault="00776AC4"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C</w:t>
      </w:r>
      <w:r w:rsidR="00DB206B" w:rsidRPr="007229EB">
        <w:rPr>
          <w:rFonts w:eastAsiaTheme="minorHAnsi" w:cs="Arial"/>
          <w:sz w:val="22"/>
          <w:szCs w:val="22"/>
          <w:lang w:eastAsia="en-US"/>
        </w:rPr>
        <w:t xml:space="preserve">onsiderar os trabalhadores da </w:t>
      </w:r>
      <w:r w:rsidR="00D52359" w:rsidRPr="007229EB">
        <w:rPr>
          <w:rFonts w:eastAsiaTheme="minorHAnsi" w:cs="Arial"/>
          <w:sz w:val="22"/>
          <w:szCs w:val="22"/>
          <w:lang w:eastAsia="en-US"/>
        </w:rPr>
        <w:t>Contratada</w:t>
      </w:r>
      <w:r w:rsidR="00DB206B" w:rsidRPr="007229EB">
        <w:rPr>
          <w:rFonts w:eastAsiaTheme="minorHAnsi" w:cs="Arial"/>
          <w:sz w:val="22"/>
          <w:szCs w:val="22"/>
          <w:lang w:eastAsia="en-US"/>
        </w:rPr>
        <w:t xml:space="preserve"> como colaboradores eventuais do próprio órgão ou entidade responsável pela contratação, especialmente para efeito de concessão de diárias e passagens.</w:t>
      </w:r>
    </w:p>
    <w:p w14:paraId="7818EF07" w14:textId="77777777" w:rsidR="001C3AB6" w:rsidRPr="007229EB" w:rsidRDefault="001C3AB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Fornecer por escrito as informações necessárias para o desenvolvimento dos serviços objeto do contrato;</w:t>
      </w:r>
    </w:p>
    <w:p w14:paraId="6F96C63B" w14:textId="6106FCD3" w:rsidR="001C3AB6" w:rsidRPr="007229EB" w:rsidRDefault="001C3AB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Realizar avaliaç</w:t>
      </w:r>
      <w:r w:rsidR="000A1D53" w:rsidRPr="007229EB">
        <w:rPr>
          <w:rFonts w:eastAsiaTheme="minorHAnsi" w:cs="Arial"/>
          <w:sz w:val="22"/>
          <w:szCs w:val="22"/>
          <w:lang w:eastAsia="en-US"/>
        </w:rPr>
        <w:t>ão</w:t>
      </w:r>
      <w:r w:rsidRPr="007229EB">
        <w:rPr>
          <w:rFonts w:eastAsiaTheme="minorHAnsi" w:cs="Arial"/>
          <w:sz w:val="22"/>
          <w:szCs w:val="22"/>
          <w:lang w:eastAsia="en-US"/>
        </w:rPr>
        <w:t xml:space="preserve"> da qualidade dos serviços, após seu recebimento;</w:t>
      </w:r>
    </w:p>
    <w:p w14:paraId="063FB036" w14:textId="77777777" w:rsidR="001C3AB6" w:rsidRPr="007229EB" w:rsidRDefault="001C3AB6"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 xml:space="preserve">Cientificar o órgão de representação judicial da Advocacia-Geral da União para adoção das medidas cabíveis quando do descumprimento das obrigações pela Contratada; </w:t>
      </w:r>
    </w:p>
    <w:p w14:paraId="4053225A" w14:textId="77777777" w:rsidR="00ED53EE" w:rsidRPr="007229E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Emitir nota de empenho, ou qualquer outro documento equivalente, com todas as informações necessárias para a perfeita execução dos serviços, por intermédio de servidor responsável pela fiscalização dos serviços;</w:t>
      </w:r>
    </w:p>
    <w:p w14:paraId="5059BDB9" w14:textId="77777777" w:rsidR="00ED53EE" w:rsidRPr="007229E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Permitir ao pessoal técnico da empresa, livre acesso a materiais e mobiliários, de modo a viabilizar a prestação dos serviços;</w:t>
      </w:r>
    </w:p>
    <w:p w14:paraId="57351A32" w14:textId="77777777" w:rsidR="00ED53EE" w:rsidRPr="007229E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Prestar todas as informações essenciais para a perfeita execução dos serviços, tais como: tipo de materiais a transportar, endereços de origem e destino e quaisquer outras que se fizerem necessários;</w:t>
      </w:r>
    </w:p>
    <w:p w14:paraId="0BC89E7E" w14:textId="77777777" w:rsidR="00ED53EE" w:rsidRPr="007229E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t>Proporcionar todas as facilidades para que a Contratada possa desempenhar seus serviços, dentro das normas constantes neste Termo de Referência;</w:t>
      </w:r>
    </w:p>
    <w:p w14:paraId="2A74FF5F" w14:textId="5DA48E4E" w:rsidR="00ED53EE" w:rsidRPr="00BF0CBB"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7229EB">
        <w:rPr>
          <w:rFonts w:eastAsiaTheme="minorHAnsi" w:cs="Arial"/>
          <w:sz w:val="22"/>
          <w:szCs w:val="22"/>
          <w:lang w:eastAsia="en-US"/>
        </w:rPr>
        <w:lastRenderedPageBreak/>
        <w:t xml:space="preserve">Promover o acompanhamento e fiscalização do cumprimento do objeto, sob os aspectos quantitativo e qualitativo, podendo sustar, recusar, mandar fazer ou desfazer qualquer serviço que </w:t>
      </w:r>
      <w:r w:rsidRPr="00BF0CBB">
        <w:rPr>
          <w:rFonts w:eastAsiaTheme="minorHAnsi" w:cs="Arial"/>
          <w:sz w:val="22"/>
          <w:szCs w:val="22"/>
          <w:lang w:eastAsia="en-US"/>
        </w:rPr>
        <w:t>não esteja de acordo com as normas, especificações e técnic</w:t>
      </w:r>
      <w:r w:rsidR="00CF734A" w:rsidRPr="00BF0CBB">
        <w:rPr>
          <w:rFonts w:eastAsiaTheme="minorHAnsi" w:cs="Arial"/>
          <w:sz w:val="22"/>
          <w:szCs w:val="22"/>
          <w:lang w:eastAsia="en-US"/>
        </w:rPr>
        <w:t>as estabelecidas em seus anexos.</w:t>
      </w:r>
    </w:p>
    <w:p w14:paraId="0E7FD243" w14:textId="2658ACC1" w:rsidR="00DB206B" w:rsidRPr="00BF0CBB" w:rsidRDefault="00DB206B" w:rsidP="000D390A">
      <w:pPr>
        <w:pStyle w:val="Nivel1"/>
        <w:rPr>
          <w:rFonts w:cs="Arial"/>
          <w:color w:val="auto"/>
          <w:sz w:val="22"/>
          <w:szCs w:val="22"/>
        </w:rPr>
      </w:pPr>
      <w:r w:rsidRPr="00BF0CBB">
        <w:rPr>
          <w:rFonts w:cs="Arial"/>
          <w:color w:val="auto"/>
          <w:sz w:val="22"/>
          <w:szCs w:val="22"/>
        </w:rPr>
        <w:t xml:space="preserve">OBRIGAÇÕES DA </w:t>
      </w:r>
      <w:r w:rsidR="00D52359" w:rsidRPr="00BF0CBB">
        <w:rPr>
          <w:rFonts w:cs="Arial"/>
          <w:color w:val="auto"/>
          <w:sz w:val="22"/>
          <w:szCs w:val="22"/>
        </w:rPr>
        <w:t>CONTRATADA</w:t>
      </w:r>
    </w:p>
    <w:p w14:paraId="58B1FCDE" w14:textId="26F059D2" w:rsidR="00DB206B"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E</w:t>
      </w:r>
      <w:r w:rsidR="00DB206B" w:rsidRPr="00BF0CBB">
        <w:rPr>
          <w:rFonts w:eastAsiaTheme="minorHAnsi" w:cs="Arial"/>
          <w:sz w:val="22"/>
          <w:szCs w:val="22"/>
          <w:lang w:eastAsia="en-US"/>
        </w:rPr>
        <w:t>xecutar os serviços conforme especificações deste Termo de Referência e de sua proposta, com a alocação dos empregados necessários ao perfeito cumprimento das cláusulas contratuais, além de fornecer</w:t>
      </w:r>
      <w:r w:rsidR="001D6D07" w:rsidRPr="00BF0CBB">
        <w:rPr>
          <w:rFonts w:eastAsiaTheme="minorHAnsi" w:cs="Arial"/>
          <w:sz w:val="22"/>
          <w:szCs w:val="22"/>
          <w:lang w:eastAsia="en-US"/>
        </w:rPr>
        <w:t xml:space="preserve"> e utilizar</w:t>
      </w:r>
      <w:r w:rsidR="00DB206B" w:rsidRPr="00BF0CBB">
        <w:rPr>
          <w:rFonts w:eastAsiaTheme="minorHAnsi" w:cs="Arial"/>
          <w:sz w:val="22"/>
          <w:szCs w:val="22"/>
          <w:lang w:eastAsia="en-US"/>
        </w:rPr>
        <w:t xml:space="preserve"> os materiais e equipamentos, ferramentas e utensílios necessários, na qualidade e quantidade</w:t>
      </w:r>
      <w:r w:rsidR="001D6D07" w:rsidRPr="00BF0CBB">
        <w:rPr>
          <w:rFonts w:eastAsiaTheme="minorHAnsi" w:cs="Arial"/>
          <w:sz w:val="22"/>
          <w:szCs w:val="22"/>
          <w:lang w:eastAsia="en-US"/>
        </w:rPr>
        <w:t xml:space="preserve"> mínimas</w:t>
      </w:r>
      <w:r w:rsidR="00DB206B" w:rsidRPr="00BF0CBB">
        <w:rPr>
          <w:rFonts w:eastAsiaTheme="minorHAnsi" w:cs="Arial"/>
          <w:sz w:val="22"/>
          <w:szCs w:val="22"/>
          <w:lang w:eastAsia="en-US"/>
        </w:rPr>
        <w:t xml:space="preserve"> especificadas neste Termo de Referência e em sua proposta;</w:t>
      </w:r>
    </w:p>
    <w:p w14:paraId="7B44165A" w14:textId="371BEC14" w:rsidR="00350762"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w:t>
      </w:r>
      <w:r w:rsidR="00DB206B" w:rsidRPr="00BF0CBB">
        <w:rPr>
          <w:rFonts w:eastAsiaTheme="minorHAnsi" w:cs="Arial"/>
          <w:sz w:val="22"/>
          <w:szCs w:val="22"/>
          <w:lang w:eastAsia="en-US"/>
        </w:rPr>
        <w:t xml:space="preserve">eparar, corrigir, remover ou substituir, às suas expensas, no total ou em parte, no prazo </w:t>
      </w:r>
      <w:r w:rsidR="00F37721" w:rsidRPr="00BF0CBB">
        <w:rPr>
          <w:rFonts w:eastAsiaTheme="minorHAnsi" w:cs="Arial"/>
          <w:sz w:val="22"/>
          <w:szCs w:val="22"/>
          <w:lang w:eastAsia="en-US"/>
        </w:rPr>
        <w:t>fixado pelo fiscal do contrato</w:t>
      </w:r>
      <w:r w:rsidR="00DB206B" w:rsidRPr="00BF0CBB">
        <w:rPr>
          <w:rFonts w:eastAsiaTheme="minorHAnsi" w:cs="Arial"/>
          <w:sz w:val="22"/>
          <w:szCs w:val="22"/>
          <w:lang w:eastAsia="en-US"/>
        </w:rPr>
        <w:t>, os serviços efetuados em que se verificarem vícios, defeitos ou incorreções resultantes da execução ou dos materiais empregados;</w:t>
      </w:r>
    </w:p>
    <w:p w14:paraId="046F9782" w14:textId="22A813D6" w:rsidR="00DB206B"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w:t>
      </w:r>
      <w:r w:rsidR="00DB206B" w:rsidRPr="00BF0CBB">
        <w:rPr>
          <w:rFonts w:eastAsiaTheme="minorHAnsi" w:cs="Arial"/>
          <w:sz w:val="22"/>
          <w:szCs w:val="22"/>
          <w:lang w:eastAsia="en-US"/>
        </w:rPr>
        <w:t>esponsabilizar-se pelos vícios e danos decorrentes d</w:t>
      </w:r>
      <w:r w:rsidR="00F37721" w:rsidRPr="00BF0CBB">
        <w:rPr>
          <w:rFonts w:eastAsiaTheme="minorHAnsi" w:cs="Arial"/>
          <w:sz w:val="22"/>
          <w:szCs w:val="22"/>
          <w:lang w:eastAsia="en-US"/>
        </w:rPr>
        <w:t>a execução d</w:t>
      </w:r>
      <w:r w:rsidR="00DB206B" w:rsidRPr="00BF0CBB">
        <w:rPr>
          <w:rFonts w:eastAsiaTheme="minorHAnsi" w:cs="Arial"/>
          <w:sz w:val="22"/>
          <w:szCs w:val="22"/>
          <w:lang w:eastAsia="en-US"/>
        </w:rPr>
        <w:t xml:space="preserve">o objeto, </w:t>
      </w:r>
      <w:r w:rsidR="001D6D07" w:rsidRPr="00BF0CBB">
        <w:rPr>
          <w:rFonts w:eastAsiaTheme="minorHAnsi" w:cs="Arial"/>
          <w:sz w:val="22"/>
          <w:szCs w:val="22"/>
          <w:lang w:eastAsia="en-US"/>
        </w:rPr>
        <w:t xml:space="preserve">bem como por todo e qualquer dano causado à União ou à entidade federal, devendo ressarcir imediatamente a Administração em sua integralidade, </w:t>
      </w:r>
      <w:r w:rsidR="00F37721" w:rsidRPr="00BF0CBB">
        <w:rPr>
          <w:rFonts w:eastAsiaTheme="minorHAnsi" w:cs="Arial"/>
          <w:sz w:val="22"/>
          <w:szCs w:val="22"/>
          <w:lang w:eastAsia="en-US"/>
        </w:rPr>
        <w:t xml:space="preserve">ficando a </w:t>
      </w:r>
      <w:r w:rsidR="00D52359" w:rsidRPr="00BF0CBB">
        <w:rPr>
          <w:rFonts w:eastAsiaTheme="minorHAnsi" w:cs="Arial"/>
          <w:sz w:val="22"/>
          <w:szCs w:val="22"/>
          <w:lang w:eastAsia="en-US"/>
        </w:rPr>
        <w:t>Contratante</w:t>
      </w:r>
      <w:r w:rsidR="00F37721" w:rsidRPr="00BF0CBB">
        <w:rPr>
          <w:rFonts w:eastAsiaTheme="minorHAnsi" w:cs="Arial"/>
          <w:sz w:val="22"/>
          <w:szCs w:val="22"/>
          <w:lang w:eastAsia="en-US"/>
        </w:rPr>
        <w:t xml:space="preserve"> autorizada a descontar da garantia, caso exigida no edital, ou dos pagamentos devidos à </w:t>
      </w:r>
      <w:r w:rsidR="00D52359" w:rsidRPr="00BF0CBB">
        <w:rPr>
          <w:rFonts w:eastAsiaTheme="minorHAnsi" w:cs="Arial"/>
          <w:sz w:val="22"/>
          <w:szCs w:val="22"/>
          <w:lang w:eastAsia="en-US"/>
        </w:rPr>
        <w:t>Contratada</w:t>
      </w:r>
      <w:r w:rsidR="00F37721" w:rsidRPr="00BF0CBB">
        <w:rPr>
          <w:rFonts w:eastAsiaTheme="minorHAnsi" w:cs="Arial"/>
          <w:sz w:val="22"/>
          <w:szCs w:val="22"/>
          <w:lang w:eastAsia="en-US"/>
        </w:rPr>
        <w:t>, o valor correspondente aos danos sofridos</w:t>
      </w:r>
      <w:r w:rsidR="00DB206B" w:rsidRPr="00BF0CBB">
        <w:rPr>
          <w:rFonts w:eastAsiaTheme="minorHAnsi" w:cs="Arial"/>
          <w:sz w:val="22"/>
          <w:szCs w:val="22"/>
          <w:lang w:eastAsia="en-US"/>
        </w:rPr>
        <w:t>;</w:t>
      </w:r>
    </w:p>
    <w:p w14:paraId="4813FFD0" w14:textId="77777777" w:rsidR="00DB206B"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U</w:t>
      </w:r>
      <w:r w:rsidR="00DB206B" w:rsidRPr="00BF0CBB">
        <w:rPr>
          <w:rFonts w:eastAsiaTheme="minorHAnsi" w:cs="Arial"/>
          <w:sz w:val="22"/>
          <w:szCs w:val="22"/>
          <w:lang w:eastAsia="en-US"/>
        </w:rPr>
        <w:t xml:space="preserve">tilizar empregados habilitados e com conhecimentos básicos dos serviços a serem </w:t>
      </w:r>
      <w:r w:rsidR="00FE5B7C" w:rsidRPr="00BF0CBB">
        <w:rPr>
          <w:rFonts w:eastAsiaTheme="minorHAnsi" w:cs="Arial"/>
          <w:sz w:val="22"/>
          <w:szCs w:val="22"/>
          <w:lang w:eastAsia="en-US"/>
        </w:rPr>
        <w:t>exe</w:t>
      </w:r>
      <w:r w:rsidR="00DB206B" w:rsidRPr="00BF0CBB">
        <w:rPr>
          <w:rFonts w:eastAsiaTheme="minorHAnsi" w:cs="Arial"/>
          <w:sz w:val="22"/>
          <w:szCs w:val="22"/>
          <w:lang w:eastAsia="en-US"/>
        </w:rPr>
        <w:t>cutados, e</w:t>
      </w:r>
      <w:r w:rsidR="00F37721" w:rsidRPr="00BF0CBB">
        <w:rPr>
          <w:rFonts w:eastAsiaTheme="minorHAnsi" w:cs="Arial"/>
          <w:sz w:val="22"/>
          <w:szCs w:val="22"/>
          <w:lang w:eastAsia="en-US"/>
        </w:rPr>
        <w:t>m</w:t>
      </w:r>
      <w:r w:rsidR="00DB206B" w:rsidRPr="00BF0CBB">
        <w:rPr>
          <w:rFonts w:eastAsiaTheme="minorHAnsi" w:cs="Arial"/>
          <w:sz w:val="22"/>
          <w:szCs w:val="22"/>
          <w:lang w:eastAsia="en-US"/>
        </w:rPr>
        <w:t xml:space="preserve"> conformidade com as normas e determinações em vigor;</w:t>
      </w:r>
    </w:p>
    <w:p w14:paraId="4249A122" w14:textId="5328F0D9" w:rsidR="00DB206B" w:rsidRPr="00BF0CBB"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V</w:t>
      </w:r>
      <w:r w:rsidR="00DB206B" w:rsidRPr="00BF0CBB">
        <w:rPr>
          <w:rFonts w:eastAsiaTheme="minorHAnsi" w:cs="Arial"/>
          <w:sz w:val="22"/>
          <w:szCs w:val="22"/>
          <w:lang w:eastAsia="en-US"/>
        </w:rPr>
        <w:t xml:space="preserve">edar a utilização, na execução dos serviços, de empregado que seja familiar de agente público ocupante de cargo em comissão ou função de confiança no órgão </w:t>
      </w:r>
      <w:r w:rsidR="00D52359" w:rsidRPr="00BF0CBB">
        <w:rPr>
          <w:rFonts w:eastAsiaTheme="minorHAnsi" w:cs="Arial"/>
          <w:sz w:val="22"/>
          <w:szCs w:val="22"/>
          <w:lang w:eastAsia="en-US"/>
        </w:rPr>
        <w:t>Contratante</w:t>
      </w:r>
      <w:r w:rsidR="00DB206B" w:rsidRPr="00BF0CBB">
        <w:rPr>
          <w:rFonts w:eastAsiaTheme="minorHAnsi" w:cs="Arial"/>
          <w:sz w:val="22"/>
          <w:szCs w:val="22"/>
          <w:lang w:eastAsia="en-US"/>
        </w:rPr>
        <w:t>, nos termos do artigo 7° do Decreto n° 7.203, de 2010</w:t>
      </w:r>
      <w:r w:rsidR="00F53E2A" w:rsidRPr="00BF0CBB">
        <w:rPr>
          <w:rFonts w:eastAsiaTheme="minorHAnsi" w:cs="Arial"/>
          <w:sz w:val="22"/>
          <w:szCs w:val="22"/>
          <w:lang w:eastAsia="en-US"/>
        </w:rPr>
        <w:t>;</w:t>
      </w:r>
    </w:p>
    <w:p w14:paraId="4E105AA5" w14:textId="72BD90E4" w:rsidR="00647983" w:rsidRPr="00BF0CBB" w:rsidRDefault="00647983"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Quando não for possível a verificação da regularidade no Sistema de Cadastro de Fornecedores – </w:t>
      </w:r>
      <w:r w:rsidR="003C58CC" w:rsidRPr="00BF0CBB">
        <w:rPr>
          <w:rFonts w:eastAsiaTheme="minorHAnsi" w:cs="Arial"/>
          <w:sz w:val="22"/>
          <w:szCs w:val="22"/>
          <w:lang w:eastAsia="en-US"/>
        </w:rPr>
        <w:t>SICAF</w:t>
      </w:r>
      <w:r w:rsidRPr="00BF0CBB">
        <w:rPr>
          <w:rFonts w:eastAsiaTheme="minorHAnsi" w:cs="Arial"/>
          <w:sz w:val="22"/>
          <w:szCs w:val="22"/>
          <w:lang w:eastAsia="en-US"/>
        </w:rPr>
        <w:t>, a empresa contratada deverá entregar ao setor responsável pela fiscalizaç</w:t>
      </w:r>
      <w:r w:rsidR="0066385E" w:rsidRPr="00BF0CBB">
        <w:rPr>
          <w:rFonts w:eastAsiaTheme="minorHAnsi" w:cs="Arial"/>
          <w:sz w:val="22"/>
          <w:szCs w:val="22"/>
          <w:lang w:eastAsia="en-US"/>
        </w:rPr>
        <w:t xml:space="preserve">ão do contrato </w:t>
      </w:r>
      <w:r w:rsidRPr="00BF0CBB">
        <w:rPr>
          <w:rFonts w:eastAsiaTheme="minorHAnsi" w:cs="Arial"/>
          <w:sz w:val="22"/>
          <w:szCs w:val="22"/>
          <w:lang w:eastAsia="en-US"/>
        </w:rPr>
        <w:t xml:space="preserve">os seguintes documentos: 1) prova de regularidade relativa à Seguridade Social; 2) certidão conjunta relativa aos tributos federais e à Dívida Ativa da União; 3) certidões que comprovem a regularidade perante a Fazenda Municipal </w:t>
      </w:r>
      <w:r w:rsidR="00875A25" w:rsidRPr="00BF0CBB">
        <w:rPr>
          <w:rFonts w:eastAsiaTheme="minorHAnsi" w:cs="Arial"/>
          <w:sz w:val="22"/>
          <w:szCs w:val="22"/>
          <w:lang w:eastAsia="en-US"/>
        </w:rPr>
        <w:t xml:space="preserve">ou Distrital </w:t>
      </w:r>
      <w:r w:rsidRPr="00BF0CBB">
        <w:rPr>
          <w:rFonts w:eastAsiaTheme="minorHAnsi" w:cs="Arial"/>
          <w:sz w:val="22"/>
          <w:szCs w:val="22"/>
          <w:lang w:eastAsia="en-US"/>
        </w:rPr>
        <w:t>do domicílio ou sede do contratado; 4) Certidão de Regularidade do FGTS – CRF; e 5) Certidão Negativa de Débitos Trabalhistas – CNDT</w:t>
      </w:r>
      <w:r w:rsidR="000D04A9" w:rsidRPr="00BF0CBB">
        <w:rPr>
          <w:rFonts w:eastAsiaTheme="minorHAnsi" w:cs="Arial"/>
          <w:sz w:val="22"/>
          <w:szCs w:val="22"/>
          <w:lang w:eastAsia="en-US"/>
        </w:rPr>
        <w:t>, conforme alínea "c" do item 10.2 do Anexo VIII-B da IN SEGES/</w:t>
      </w:r>
      <w:r w:rsidR="003C58CC" w:rsidRPr="00BF0CBB">
        <w:rPr>
          <w:rFonts w:eastAsiaTheme="minorHAnsi" w:cs="Arial"/>
          <w:sz w:val="22"/>
          <w:szCs w:val="22"/>
          <w:lang w:eastAsia="en-US"/>
        </w:rPr>
        <w:t>MP</w:t>
      </w:r>
      <w:r w:rsidR="000D04A9" w:rsidRPr="00BF0CBB">
        <w:rPr>
          <w:rFonts w:eastAsiaTheme="minorHAnsi" w:cs="Arial"/>
          <w:sz w:val="22"/>
          <w:szCs w:val="22"/>
          <w:lang w:eastAsia="en-US"/>
        </w:rPr>
        <w:t xml:space="preserve"> n. 5/2017</w:t>
      </w:r>
      <w:r w:rsidRPr="00BF0CBB">
        <w:rPr>
          <w:rFonts w:eastAsiaTheme="minorHAnsi" w:cs="Arial"/>
          <w:sz w:val="22"/>
          <w:szCs w:val="22"/>
          <w:lang w:eastAsia="en-US"/>
        </w:rPr>
        <w:t>;</w:t>
      </w:r>
    </w:p>
    <w:p w14:paraId="6A8095C6" w14:textId="1E34778C" w:rsidR="003C4698" w:rsidRPr="00BF0CBB" w:rsidRDefault="00A340C0"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Pr="00BF0CBB" w:rsidRDefault="001D6D07"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Comunicar ao Fiscal do contrato, no prazo de 24 (vinte e quatro) horas, qualquer ocorrência anormal ou acidente que se verifique no local dos serviços.</w:t>
      </w:r>
    </w:p>
    <w:p w14:paraId="40D36C95" w14:textId="77777777" w:rsidR="001D6D07" w:rsidRPr="00BF0CBB" w:rsidRDefault="001D6D07"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BF0CBB"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Paralisar, por determinação da Contratante, qualquer atividade que não esteja sendo executada de acordo com a boa técnica ou que ponha em risco a segurança de pessoas ou bens de terceiros.</w:t>
      </w:r>
    </w:p>
    <w:p w14:paraId="4AA42F38" w14:textId="120714C7" w:rsidR="001D6D07" w:rsidRPr="00BF0CBB"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Promover a guarda, manutenção e vigilância de materiais, ferramentas, e tudo o que for necessário à execução dos serviços, durante a vigência do contrato.</w:t>
      </w:r>
    </w:p>
    <w:p w14:paraId="42104800" w14:textId="77777777"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lastRenderedPageBreak/>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Submeter previamente, por escrito, à Contratante, para análise e aprovação, quaisquer mudanças nos métodos executivos que fujam às especificações do memorial descritivo.</w:t>
      </w:r>
    </w:p>
    <w:p w14:paraId="2628376A" w14:textId="09F96075" w:rsidR="00DB206B" w:rsidRPr="00BF0CBB" w:rsidRDefault="00A36676"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w:t>
      </w:r>
      <w:r w:rsidR="00DB206B" w:rsidRPr="00BF0CBB">
        <w:rPr>
          <w:rFonts w:eastAsiaTheme="minorHAnsi" w:cs="Arial"/>
          <w:sz w:val="22"/>
          <w:szCs w:val="22"/>
          <w:lang w:eastAsia="en-US"/>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BF0CBB" w:rsidRDefault="00DB206B"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 </w:t>
      </w:r>
      <w:r w:rsidR="00A36676" w:rsidRPr="00BF0CBB">
        <w:rPr>
          <w:rFonts w:eastAsiaTheme="minorHAnsi" w:cs="Arial"/>
          <w:sz w:val="22"/>
          <w:szCs w:val="22"/>
          <w:lang w:eastAsia="en-US"/>
        </w:rPr>
        <w:t>M</w:t>
      </w:r>
      <w:r w:rsidRPr="00BF0CBB">
        <w:rPr>
          <w:rFonts w:eastAsiaTheme="minorHAnsi" w:cs="Arial"/>
          <w:sz w:val="22"/>
          <w:szCs w:val="22"/>
          <w:lang w:eastAsia="en-US"/>
        </w:rPr>
        <w:t>anter durante toda a vigência do contrato, em compatibilidade com as obrigações assumidas, todas as condições de habilitação e qualificação exigidas na licitação;</w:t>
      </w:r>
    </w:p>
    <w:p w14:paraId="0410D7EA" w14:textId="6A7F512D"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4E3428F" w14:textId="77777777" w:rsidR="00133136" w:rsidRPr="00BF0CBB" w:rsidRDefault="001449A3"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G</w:t>
      </w:r>
      <w:r w:rsidR="00133136" w:rsidRPr="00BF0CBB">
        <w:rPr>
          <w:rFonts w:eastAsiaTheme="minorHAnsi" w:cs="Arial"/>
          <w:sz w:val="22"/>
          <w:szCs w:val="22"/>
          <w:lang w:eastAsia="en-US"/>
        </w:rPr>
        <w:t>uardar sigilo sobre todas as informações obtidas em decorrência do cumprimento do contrato;</w:t>
      </w:r>
    </w:p>
    <w:p w14:paraId="2D89A960" w14:textId="670B18D1" w:rsidR="00DB206B" w:rsidRPr="00BF0CBB" w:rsidRDefault="00A36676"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w:t>
      </w:r>
      <w:r w:rsidR="00DB206B" w:rsidRPr="00BF0CBB">
        <w:rPr>
          <w:rFonts w:eastAsiaTheme="minorHAnsi" w:cs="Arial"/>
          <w:sz w:val="22"/>
          <w:szCs w:val="22"/>
          <w:lang w:eastAsia="en-US"/>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BF0CBB">
        <w:rPr>
          <w:rFonts w:eastAsiaTheme="minorHAnsi" w:cs="Arial"/>
          <w:sz w:val="22"/>
          <w:szCs w:val="22"/>
          <w:lang w:eastAsia="en-US"/>
        </w:rPr>
        <w:t>d</w:t>
      </w:r>
      <w:r w:rsidR="00DB206B" w:rsidRPr="00BF0CBB">
        <w:rPr>
          <w:rFonts w:eastAsiaTheme="minorHAnsi" w:cs="Arial"/>
          <w:sz w:val="22"/>
          <w:szCs w:val="22"/>
          <w:lang w:eastAsia="en-US"/>
        </w:rPr>
        <w:t>o objeto da licitação, exceto quando ocorrer algum dos eventos arrolados nos incisos do § 1º do art. 57 da Lei nº 8.666, de 1993.</w:t>
      </w:r>
    </w:p>
    <w:p w14:paraId="30A31AD5" w14:textId="127A7481" w:rsidR="001D6D07" w:rsidRPr="00BF0CBB"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Cumprir, além dos postulados legais vigentes de âmbito federal, estadual ou municipal, as normas de segurança da Contratante;</w:t>
      </w:r>
    </w:p>
    <w:p w14:paraId="7ED42165" w14:textId="6748CCEE" w:rsidR="001D6D07" w:rsidRPr="00BF0CBB"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77777777" w:rsidR="006F426A" w:rsidRPr="00BF0CBB"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Assegurar à CONTRATANTE, em conformidade com o previsto no subitem 6.1, “a”e “b”, do Anexo VII – F da Instrução Normativa SEGES/MP nº 5, de 25/05/2017:</w:t>
      </w:r>
    </w:p>
    <w:p w14:paraId="59A2CECE" w14:textId="77777777" w:rsidR="006F426A" w:rsidRPr="00BF0CBB" w:rsidRDefault="006F426A" w:rsidP="00EA1C03">
      <w:pPr>
        <w:numPr>
          <w:ilvl w:val="2"/>
          <w:numId w:val="1"/>
        </w:numPr>
        <w:tabs>
          <w:tab w:val="left" w:pos="1701"/>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40043E" w14:textId="1FB6669D" w:rsidR="006F426A" w:rsidRPr="00BF0CBB" w:rsidRDefault="006F426A" w:rsidP="00EA1C03">
      <w:pPr>
        <w:numPr>
          <w:ilvl w:val="2"/>
          <w:numId w:val="1"/>
        </w:numPr>
        <w:tabs>
          <w:tab w:val="left" w:pos="1701"/>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250E8E4"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Apresentar os empregados devidamente uniformizados e identificados por meio de crachá, além de provê-los com os Equipamentos de Proteção Individual - EPI, quando for o caso;</w:t>
      </w:r>
    </w:p>
    <w:p w14:paraId="350337D7"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Apresentar à Contratante, quando for o caso, a relação nominal dos empregados que executarão o serviço;</w:t>
      </w:r>
    </w:p>
    <w:p w14:paraId="5781F1B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lastRenderedPageBreak/>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2F240088"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Obter todo o tipo de licença junto aos órgãos fiscalizadores (guias e demais documentos necessários) para a perfeita execução do transporte;</w:t>
      </w:r>
    </w:p>
    <w:p w14:paraId="13353A93"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Manter um Diário de Ocorrência no percurso autorizado, relativo aos serviços de transporte, que servira de balizamento para soluções de quaisquer problemas eventualmente ocorridos por ocasião do transporte;</w:t>
      </w:r>
    </w:p>
    <w:p w14:paraId="7C14D2B8"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Responsabilizar-se por todas as despesas, tais como: impostos, taxas, seguro, embalagens, mão-de-obra, licenças, alvarás, bem como todos os encargos trabalhistas, previdenciários, fiscais e comerciais, ou quaisquer outras formas devidas relativas e indispensáveis à perfeita execução do objeto do presente no Termo de Referência;</w:t>
      </w:r>
    </w:p>
    <w:p w14:paraId="45E4DB53"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Responsabilizar-se por todo e qualquer dano que venha causar durante a execução dos serviços nos locais de origem e destino (vidros, pisos, revestimentos, paredes, aparelhos, veículos, etc.), assumindo o ônus e a execução dos respectivos reparos ou substituições, recompondo os locais porventura afetados com materiais similares sempre observando o bom nível de acabamento dos serviços;</w:t>
      </w:r>
    </w:p>
    <w:p w14:paraId="77BECA01" w14:textId="3227B16D"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Reparar, corrigir, reconstruir ou indenizar, às suas expensas, no todo ou em parte, quaisquer mobiliários, cargas e volumes em geral de propriedade da U</w:t>
      </w:r>
      <w:r w:rsidR="007229EB" w:rsidRPr="00BF0CBB">
        <w:rPr>
          <w:rFonts w:eastAsiaTheme="minorHAnsi" w:cs="Arial"/>
          <w:sz w:val="22"/>
          <w:szCs w:val="22"/>
          <w:lang w:eastAsia="en-US"/>
        </w:rPr>
        <w:t>nidade</w:t>
      </w:r>
      <w:r w:rsidRPr="00BF0CBB">
        <w:rPr>
          <w:rFonts w:eastAsiaTheme="minorHAnsi" w:cs="Arial"/>
          <w:sz w:val="22"/>
          <w:szCs w:val="22"/>
          <w:lang w:eastAsia="en-US"/>
        </w:rPr>
        <w:t xml:space="preserve"> R</w:t>
      </w:r>
      <w:r w:rsidR="007229EB" w:rsidRPr="00BF0CBB">
        <w:rPr>
          <w:rFonts w:eastAsiaTheme="minorHAnsi" w:cs="Arial"/>
          <w:sz w:val="22"/>
          <w:szCs w:val="22"/>
          <w:lang w:eastAsia="en-US"/>
        </w:rPr>
        <w:t>egional de</w:t>
      </w:r>
      <w:r w:rsidRPr="00BF0CBB">
        <w:rPr>
          <w:rFonts w:eastAsiaTheme="minorHAnsi" w:cs="Arial"/>
          <w:sz w:val="22"/>
          <w:szCs w:val="22"/>
          <w:lang w:eastAsia="en-US"/>
        </w:rPr>
        <w:t xml:space="preserve"> </w:t>
      </w:r>
      <w:r w:rsidR="000F7DB8" w:rsidRPr="00BF0CBB">
        <w:rPr>
          <w:rFonts w:eastAsiaTheme="minorHAnsi" w:cs="Arial"/>
          <w:sz w:val="22"/>
          <w:szCs w:val="22"/>
          <w:lang w:eastAsia="en-US"/>
        </w:rPr>
        <w:t>F</w:t>
      </w:r>
      <w:r w:rsidR="007229EB" w:rsidRPr="00BF0CBB">
        <w:rPr>
          <w:rFonts w:eastAsiaTheme="minorHAnsi" w:cs="Arial"/>
          <w:sz w:val="22"/>
          <w:szCs w:val="22"/>
          <w:lang w:eastAsia="en-US"/>
        </w:rPr>
        <w:t>ortaleza</w:t>
      </w:r>
      <w:r w:rsidRPr="00BF0CBB">
        <w:rPr>
          <w:rFonts w:eastAsiaTheme="minorHAnsi" w:cs="Arial"/>
          <w:sz w:val="22"/>
          <w:szCs w:val="22"/>
          <w:lang w:eastAsia="en-US"/>
        </w:rPr>
        <w:t xml:space="preserve"> em que se verifiquem danos em decorrência do transporte, bem como providenciar a substituição dos mesmos no prazo de 48 horas, contados na notificação que Ihe será entregue;</w:t>
      </w:r>
    </w:p>
    <w:p w14:paraId="6D5873C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prazo previsto no subitem anterior poderá ser dilatado, desde que acordado entre a empresa e o fiscal do contrato e mediante a comprovação da impossibilidade do cumprimento do prazo inicialmente estabelecido;</w:t>
      </w:r>
    </w:p>
    <w:p w14:paraId="755FB851"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Indenizar a contratante, no prazo máximo de 15 (quinze) dias, a contar da data de notificação, os danos causados aos mobiliários, cargas e volumes em geral de sua propriedade, que não possam ser reparados;</w:t>
      </w:r>
    </w:p>
    <w:p w14:paraId="742EFFD2"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Responsabilizar-se pela limpeza dos locais de origem e destino após a conclusão dos serviços, devendo ser retirados todos os detritos e embalagens utilizadas, exceto quando dispensado pelo interessado;</w:t>
      </w:r>
    </w:p>
    <w:p w14:paraId="4A1919FE"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Fornecer e exigir, quando necessário, o uso de equipamentos de proteção individual e coletivo adequado a todos os envolvidos no serviço;</w:t>
      </w:r>
    </w:p>
    <w:p w14:paraId="4007051B"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Fornecer todo material adequado para embalagem dos mobiliários, cargas e volumes em geral como: (caixas de papelão reforçado, papelão ondulado, fitas adesivas, etiquetas, sacos plásticos, etc.), de acordo com a natureza do material a ser transportado;</w:t>
      </w:r>
    </w:p>
    <w:p w14:paraId="685BC2DC"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Acatar todas as orientações da ANTAQ, sujeitando-se a mais ampla e irrestrita fiscalização, prestando todos os esclarecimentos solicitados e atendendo as reclamações formuladas;</w:t>
      </w:r>
    </w:p>
    <w:p w14:paraId="234F5AE6"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Responder pelos danos de qualquer natureza que venham a sofrer seus empregados, terceiros ou a ANTAQ, em razão de acidentes ou de ação ou omissão dolosa ou culposa de prepostos da Contratada ou de quem em seu nome agir;</w:t>
      </w:r>
    </w:p>
    <w:p w14:paraId="365EEF64"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Manter durante toda a vigência do contrato, em compatibilidade com as obrigações assumidas, todas as condições de habilitação exigidas na licitação, inclusive no que tange à vigência e validade das Apólices de Seguro -RCTR-C (Responsabilidade Civil do Transporte Rodoviário de Carga) e de RFC-DC (Responsabilidade Facultativa Civil do Transportador Rodoviário por Desaparecimento de Carga);</w:t>
      </w:r>
    </w:p>
    <w:p w14:paraId="73128DE4"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lastRenderedPageBreak/>
        <w:t>Utilizar, para fins de cálculo da quilometragem entre percursos, o Quadro de Distancias Rodoviárias, fornecido pelo DNIT -Departamento Nacional de Infraestrutura de Transporte;</w:t>
      </w:r>
    </w:p>
    <w:p w14:paraId="29DA575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Caso o local de origem/destino não conste no Quadro de Distancias Fornecido pelo DNIT, poderá ser utilizada informação fornecida por Órgão Oficial da União, Estados ou Municípios, ou ainda, o Guia Quatro Rodas;</w:t>
      </w:r>
    </w:p>
    <w:p w14:paraId="38568E96"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Verificar legislação local quanto a acesso e movimentação de cargas e caminhões nos locais de coleta e entrega da mudança;</w:t>
      </w:r>
    </w:p>
    <w:p w14:paraId="6BA8D75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Apresentar, junto com a fatura, quando for o caso, os comprovantes de quitação das indenizações pagas pelo extravio e/ou avarias dos mobiliários, cargas e volumes em geral de propriedade da Antaq sob sua responsabilidade ou prova de reposição desses bens;</w:t>
      </w:r>
    </w:p>
    <w:p w14:paraId="475B5145"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Apresentar, junto com a fatura/nota fiscal de prestação de serviços, além dos comprovantes de carga (s) realizada (s), a apólice ou averbação de seguro para cobertura da (s) carga (s) transportada (s) de acordo com o veículo utilizado e trecho de carga executado;</w:t>
      </w:r>
    </w:p>
    <w:p w14:paraId="1549A45A"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Efetuar a entrega dos mobiliários, cargas e volumes em geral da contratante, transportados no local de destino em perfeito estado, mediante recibo datado e assinado pelo servidor autorizada pela ANTAQ a receber os mobiliários, cargas e volumes em geral, contendo o atesto de que os serviços foram prestados de modo satisfatório;</w:t>
      </w:r>
    </w:p>
    <w:p w14:paraId="4532D3D5"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Efetuar os transportes de todos os mobiliários, cargas e volumes em geral de propriedade da ANTAQ em caminhão fechado, tipo baú, em perfeitas condições de funcionamento;</w:t>
      </w:r>
    </w:p>
    <w:p w14:paraId="49F562A0"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Assumir inteira responsabilidade pela integridade física dos mobiliários, cargas e volumes em geral de propriedade da contratante que lhe forem confiados para transporte, bem como por danos ou extravios causados aos mesmos, desde o recebimento dos mesmos até a entrega no destino, incluindo a montagem e desmontagem de moveis;</w:t>
      </w:r>
    </w:p>
    <w:p w14:paraId="65D58291"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Zelar para que sejam cumpridas as normas relativas à segurança e a prevenção de acidentes;</w:t>
      </w:r>
    </w:p>
    <w:p w14:paraId="4AFEEAD6"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Responsabilizar-se por quaisquer acidentes que venham a ser vítimas os seus empregados, quando em serviço, por tudo quanto às leis trabalhistas e previdenciárias que Ihes assegurem e demais exigências legais para o exercício das atividades;</w:t>
      </w:r>
    </w:p>
    <w:p w14:paraId="3083FEBE"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Assumir todas as responsabilidades de trafego (multas, pedágios, impostos, estacionamentos, taxas, etc);</w:t>
      </w:r>
    </w:p>
    <w:p w14:paraId="52D0812F"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Observar os regulamentos dos locais onde serão prestados os serviços, por ocasião da montagem e desmontagem do mobiliário;</w:t>
      </w:r>
    </w:p>
    <w:p w14:paraId="23F8D0D3"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Permitir que a ANTAQ realize, por meio de seus setores específicos, a fiscalização dos serviços, que obedecera às disposições da legislação que trata da matéria;</w:t>
      </w:r>
    </w:p>
    <w:p w14:paraId="1B7005F2"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Não transferir a outrem, no todo ou em parte, o objeto do Contrato, sem autorização previa e por escrito da ANTAQ;</w:t>
      </w:r>
    </w:p>
    <w:p w14:paraId="33A0DFD8"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Ser responsável por todas as despesas inerentes aos trabalhos contratados, inclusive as de pagamento de seguro contra acidentes de trabalho;</w:t>
      </w:r>
    </w:p>
    <w:p w14:paraId="3DB82D85"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Prestar todos os esclarecimentos que forem solicitados pela ANTAQ, cujas reclamações se obrigam prontamente a atender;</w:t>
      </w:r>
    </w:p>
    <w:p w14:paraId="5DB72F2A" w14:textId="77777777" w:rsidR="00CF734A" w:rsidRPr="00BF0CBB"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Atender as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7E36C99E" w14:textId="77777777" w:rsidR="00E014B9" w:rsidRPr="00BF0CBB" w:rsidRDefault="00E014B9" w:rsidP="006F426A">
      <w:pPr>
        <w:pStyle w:val="Nivel1"/>
        <w:rPr>
          <w:rFonts w:cs="Arial"/>
          <w:color w:val="auto"/>
          <w:sz w:val="22"/>
          <w:szCs w:val="22"/>
        </w:rPr>
      </w:pPr>
      <w:r w:rsidRPr="00BF0CBB">
        <w:rPr>
          <w:rFonts w:cs="Arial"/>
          <w:color w:val="auto"/>
          <w:sz w:val="22"/>
          <w:szCs w:val="22"/>
        </w:rPr>
        <w:lastRenderedPageBreak/>
        <w:t xml:space="preserve">DA SUBCONTRATAÇÃO  </w:t>
      </w:r>
    </w:p>
    <w:p w14:paraId="0520954A" w14:textId="77777777" w:rsidR="00E014B9" w:rsidRPr="00BF0CBB" w:rsidRDefault="00E014B9"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Não será admitida a subcontratação do objeto licitatório.</w:t>
      </w:r>
    </w:p>
    <w:p w14:paraId="5BC247FE" w14:textId="77777777" w:rsidR="00987810" w:rsidRPr="00BF0CBB" w:rsidRDefault="00987810" w:rsidP="000D390A">
      <w:pPr>
        <w:pStyle w:val="Nivel1"/>
        <w:rPr>
          <w:rFonts w:cs="Arial"/>
          <w:color w:val="auto"/>
          <w:sz w:val="22"/>
          <w:szCs w:val="22"/>
        </w:rPr>
      </w:pPr>
      <w:r w:rsidRPr="00BF0CBB">
        <w:rPr>
          <w:rFonts w:cs="Arial"/>
          <w:color w:val="auto"/>
          <w:sz w:val="22"/>
          <w:szCs w:val="22"/>
        </w:rPr>
        <w:t>ALTERAÇÃO SUBJETIVA</w:t>
      </w:r>
    </w:p>
    <w:p w14:paraId="4750CAD7" w14:textId="77777777" w:rsidR="00987810" w:rsidRPr="00BF0CBB" w:rsidRDefault="00987810"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BF0CBB" w:rsidRDefault="00052D53" w:rsidP="008B0C2F">
      <w:pPr>
        <w:pStyle w:val="Nivel1"/>
        <w:rPr>
          <w:rFonts w:cs="Arial"/>
          <w:color w:val="auto"/>
          <w:sz w:val="22"/>
          <w:szCs w:val="22"/>
        </w:rPr>
      </w:pPr>
      <w:r w:rsidRPr="00BF0CBB">
        <w:rPr>
          <w:rFonts w:cs="Arial"/>
          <w:color w:val="auto"/>
          <w:sz w:val="22"/>
          <w:szCs w:val="22"/>
        </w:rPr>
        <w:t xml:space="preserve">CONTROLE </w:t>
      </w:r>
      <w:r w:rsidR="00683E3C" w:rsidRPr="00BF0CBB">
        <w:rPr>
          <w:rFonts w:cs="Arial"/>
          <w:color w:val="auto"/>
          <w:sz w:val="22"/>
          <w:szCs w:val="22"/>
        </w:rPr>
        <w:t xml:space="preserve">E FISCALIZAÇÃO DA EXECUÇÃO </w:t>
      </w:r>
    </w:p>
    <w:p w14:paraId="41D62AE1"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5037DF6A"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representante da Contratante deverá ter a qualificação necessária para o acompanhamento e controle da execução dos serviços e do contrato.</w:t>
      </w:r>
    </w:p>
    <w:p w14:paraId="0A82D202"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verificação da adequação da prestação do serviço deverá ser realizada com base nos critérios previstos neste Termo de Referência.</w:t>
      </w:r>
    </w:p>
    <w:p w14:paraId="57BF4ACD"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65273C70" w:rsidR="0066759F" w:rsidRPr="00BF0CBB" w:rsidRDefault="00652668"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BF0CBB">
        <w:rPr>
          <w:rFonts w:eastAsiaTheme="minorHAnsi" w:cs="Arial"/>
          <w:sz w:val="22"/>
          <w:szCs w:val="22"/>
          <w:lang w:eastAsia="en-US"/>
        </w:rPr>
        <w:t>.</w:t>
      </w:r>
    </w:p>
    <w:p w14:paraId="32C741F0" w14:textId="6EE51F49" w:rsidR="00222D2F" w:rsidRPr="00BF0CBB" w:rsidRDefault="00052D53"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311B0E16" w:rsidR="00B032AB" w:rsidRPr="00BF0CBB" w:rsidRDefault="00B032AB"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fiscalização técnica dos contratos avaliará a execução do objeto e utilizará o Instrumento de Medição de Resultado (IMR), conforme modelo previsto no </w:t>
      </w:r>
      <w:r w:rsidR="003B18D2" w:rsidRPr="00BF0CBB">
        <w:rPr>
          <w:rFonts w:eastAsiaTheme="minorHAnsi" w:cs="Arial"/>
          <w:sz w:val="22"/>
          <w:szCs w:val="22"/>
          <w:lang w:eastAsia="en-US"/>
        </w:rPr>
        <w:t>item 8 deste termo de referência</w:t>
      </w:r>
      <w:r w:rsidRPr="00BF0CBB">
        <w:rPr>
          <w:rFonts w:eastAsiaTheme="minorHAnsi" w:cs="Arial"/>
          <w:sz w:val="22"/>
          <w:szCs w:val="22"/>
          <w:lang w:eastAsia="en-US"/>
        </w:rPr>
        <w:t>, ou outro</w:t>
      </w:r>
      <w:r w:rsidR="00CE1EEE" w:rsidRPr="00BF0CBB">
        <w:rPr>
          <w:rFonts w:eastAsiaTheme="minorHAnsi" w:cs="Arial"/>
          <w:sz w:val="22"/>
          <w:szCs w:val="22"/>
          <w:lang w:eastAsia="en-US"/>
        </w:rPr>
        <w:t xml:space="preserve"> </w:t>
      </w:r>
      <w:r w:rsidRPr="00BF0CBB">
        <w:rPr>
          <w:rFonts w:eastAsiaTheme="minorHAnsi" w:cs="Arial"/>
          <w:sz w:val="22"/>
          <w:szCs w:val="22"/>
          <w:lang w:eastAsia="en-US"/>
        </w:rPr>
        <w:t>instrumento substituto para aferição da qualidade da prestação dos serviços, devendo haver o redimensionamento no pagamento com base nos indicadores estabelecidos, sempre que a CONTRATADA:</w:t>
      </w:r>
    </w:p>
    <w:p w14:paraId="6C51B60B" w14:textId="77777777" w:rsidR="00680543" w:rsidRPr="00BF0CBB" w:rsidRDefault="00B032AB" w:rsidP="003B18D2">
      <w:pPr>
        <w:spacing w:before="120" w:after="120" w:line="276" w:lineRule="auto"/>
        <w:ind w:left="851"/>
        <w:jc w:val="both"/>
        <w:rPr>
          <w:rFonts w:cs="Arial"/>
          <w:sz w:val="22"/>
          <w:szCs w:val="22"/>
        </w:rPr>
      </w:pPr>
      <w:r w:rsidRPr="00BF0CBB">
        <w:rPr>
          <w:rFonts w:cs="Arial"/>
          <w:sz w:val="22"/>
          <w:szCs w:val="22"/>
        </w:rPr>
        <w:lastRenderedPageBreak/>
        <w:t>a) não produzir os resultados, deixar de executar, ou não executar com a qualidade mínima exigida as atividades contratadas; ou</w:t>
      </w:r>
    </w:p>
    <w:p w14:paraId="39E6240D" w14:textId="15C1B48B" w:rsidR="00B032AB" w:rsidRPr="00BF0CBB" w:rsidRDefault="00B032AB" w:rsidP="003B18D2">
      <w:pPr>
        <w:spacing w:before="120" w:after="120" w:line="276" w:lineRule="auto"/>
        <w:ind w:left="851"/>
        <w:jc w:val="both"/>
        <w:rPr>
          <w:rFonts w:cs="Arial"/>
          <w:sz w:val="22"/>
          <w:szCs w:val="22"/>
        </w:rPr>
      </w:pPr>
      <w:r w:rsidRPr="00BF0CBB">
        <w:rPr>
          <w:rFonts w:cs="Arial"/>
          <w:sz w:val="22"/>
          <w:szCs w:val="22"/>
        </w:rPr>
        <w:t>b) deixar de utilizar materiais e recursos humanos exigidos para a execução do serviço, ou utilizá-los com qualidade ou quantidade inferior à demandada.</w:t>
      </w:r>
    </w:p>
    <w:p w14:paraId="5ADCE13A" w14:textId="613E55F8" w:rsidR="006A414A" w:rsidRPr="00BF0CBB" w:rsidRDefault="00B032AB" w:rsidP="003B18D2">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A utilização do IMR não impede a aplicação concomitante de outros mecanismos para a avaliação da prestação dos serviços.</w:t>
      </w:r>
    </w:p>
    <w:p w14:paraId="31AC2724" w14:textId="17081039"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Em hipótese alguma, será admitido que a própria CONTRATADA materialize a avaliação de desempenho e qualidade da prestação dos serviços realizada. </w:t>
      </w:r>
    </w:p>
    <w:p w14:paraId="0ADB9731" w14:textId="69AD6948"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BF0CBB">
        <w:rPr>
          <w:rFonts w:eastAsiaTheme="minorHAnsi" w:cs="Arial"/>
          <w:sz w:val="22"/>
          <w:szCs w:val="22"/>
          <w:lang w:eastAsia="en-US"/>
        </w:rPr>
        <w:t xml:space="preserve"> sanções à</w:t>
      </w:r>
      <w:r w:rsidRPr="00BF0CBB">
        <w:rPr>
          <w:rFonts w:eastAsiaTheme="minorHAnsi" w:cs="Arial"/>
          <w:sz w:val="22"/>
          <w:szCs w:val="22"/>
          <w:lang w:eastAsia="en-US"/>
        </w:rPr>
        <w:t xml:space="preserve"> CONTRATADA de acordo com as regras previstas no ato convocatório. </w:t>
      </w:r>
    </w:p>
    <w:p w14:paraId="3B27C979" w14:textId="428DF6A7"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fiscal técnico poderá realizar avaliação diária, semanal ou mensal, desde que o período escolhido seja suficiente para avaliar ou, se for o caso, aferir o desempenho e qualidade da prestação dos serviços. </w:t>
      </w:r>
    </w:p>
    <w:p w14:paraId="53D82BBE" w14:textId="751175EA"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1BBCC8D3" w14:textId="4C9F9C8A" w:rsidR="0066759F" w:rsidRPr="00BF0CBB"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 disposições previstas nesta cláusula não excluem o disposto no Anexo VIII da Instrução Normativa SLTI/</w:t>
      </w:r>
      <w:r w:rsidR="003C58CC" w:rsidRPr="00BF0CBB">
        <w:rPr>
          <w:rFonts w:eastAsiaTheme="minorHAnsi" w:cs="Arial"/>
          <w:sz w:val="22"/>
          <w:szCs w:val="22"/>
          <w:lang w:eastAsia="en-US"/>
        </w:rPr>
        <w:t>MP</w:t>
      </w:r>
      <w:r w:rsidRPr="00BF0CBB">
        <w:rPr>
          <w:rFonts w:eastAsiaTheme="minorHAnsi" w:cs="Arial"/>
          <w:sz w:val="22"/>
          <w:szCs w:val="22"/>
          <w:lang w:eastAsia="en-US"/>
        </w:rPr>
        <w:t xml:space="preserve"> nº 05, de 2017, aplicável no que for pertinente à contratação.</w:t>
      </w:r>
    </w:p>
    <w:p w14:paraId="52559F56" w14:textId="40A146AC" w:rsidR="006A414A" w:rsidRPr="00BF0CBB"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CA3D928" w14:textId="42A0281C" w:rsidR="00B222EE" w:rsidRPr="00BF0CBB" w:rsidRDefault="00C55B69" w:rsidP="008B0C2F">
      <w:pPr>
        <w:pStyle w:val="Nivel1"/>
        <w:rPr>
          <w:rFonts w:cs="Arial"/>
          <w:color w:val="auto"/>
          <w:sz w:val="22"/>
          <w:szCs w:val="22"/>
        </w:rPr>
      </w:pPr>
      <w:r w:rsidRPr="00BF0CBB">
        <w:rPr>
          <w:rFonts w:cs="Arial"/>
          <w:color w:val="auto"/>
          <w:sz w:val="22"/>
          <w:szCs w:val="22"/>
        </w:rPr>
        <w:t>DO RECEBIMENTO E ACEITAÇÃO DO OBJETO</w:t>
      </w:r>
      <w:r w:rsidR="008C04BB" w:rsidRPr="00BF0CBB">
        <w:rPr>
          <w:rFonts w:cs="Arial"/>
          <w:color w:val="auto"/>
          <w:sz w:val="22"/>
          <w:szCs w:val="22"/>
        </w:rPr>
        <w:t xml:space="preserve"> </w:t>
      </w:r>
      <w:r w:rsidR="00572024" w:rsidRPr="00BF0CBB">
        <w:rPr>
          <w:rFonts w:cs="Arial"/>
          <w:color w:val="auto"/>
          <w:sz w:val="22"/>
          <w:szCs w:val="22"/>
        </w:rPr>
        <w:t xml:space="preserve"> </w:t>
      </w:r>
    </w:p>
    <w:p w14:paraId="2F947CE2" w14:textId="4D655B91" w:rsidR="00761D03" w:rsidRPr="00BF0CBB" w:rsidRDefault="00761D03" w:rsidP="00660360">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emissão da Nota Fiscal/Fatura deve ser precedida do recebimento definitivo dos serviços, nos </w:t>
      </w:r>
      <w:r w:rsidR="002004CF" w:rsidRPr="00BF0CBB">
        <w:rPr>
          <w:rFonts w:eastAsiaTheme="minorHAnsi" w:cs="Arial"/>
          <w:sz w:val="22"/>
          <w:szCs w:val="22"/>
          <w:lang w:eastAsia="en-US"/>
        </w:rPr>
        <w:t>termos abaixo.</w:t>
      </w:r>
      <w:r w:rsidRPr="00BF0CBB">
        <w:rPr>
          <w:rFonts w:eastAsiaTheme="minorHAnsi" w:cs="Arial"/>
          <w:sz w:val="22"/>
          <w:szCs w:val="22"/>
          <w:lang w:eastAsia="en-US"/>
        </w:rPr>
        <w:t xml:space="preserve"> </w:t>
      </w:r>
    </w:p>
    <w:p w14:paraId="6E87C596" w14:textId="77777777" w:rsidR="00761D03" w:rsidRPr="00BF0CBB" w:rsidRDefault="00761D03" w:rsidP="00660360">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No prazo de até 5 dias corridos do adimplemento da parcela, a CONTRATADA deverá entregar toda a documentação comprobatória do cumprimento da obrigação contratual;  </w:t>
      </w:r>
    </w:p>
    <w:p w14:paraId="5E782B26" w14:textId="77777777" w:rsidR="005B55DF" w:rsidRPr="00BF0CBB" w:rsidRDefault="005B55DF" w:rsidP="005B55D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serviços serão recebidos por um servidor da ANTAQ, que acompanhará todo processo de mudança, onde posteriormente verificará de sua conformidade do contrato conforme as especificações constantes neste Termo de Referência e na proposta ganhadora.</w:t>
      </w:r>
    </w:p>
    <w:p w14:paraId="0CAC42C7" w14:textId="77777777" w:rsidR="00BB7101" w:rsidRPr="00BF0CBB" w:rsidRDefault="00BB7101"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lastRenderedPageBreak/>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3E179B1" w14:textId="0005D3BA" w:rsidR="005B55DF" w:rsidRPr="00BF0CBB" w:rsidRDefault="005B55DF" w:rsidP="005B55D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serviços serão recebidos definitivamente em até 10 (dez) dias após o término da mudança, ou da montagem dos móveis, ou no cumprimento total conforme especificado no Termo de Referência, com a consequente aceitação mediante termo circunstanciado.</w:t>
      </w:r>
    </w:p>
    <w:p w14:paraId="261E0835" w14:textId="77777777" w:rsidR="00BB7101" w:rsidRPr="00BF0CBB" w:rsidRDefault="00BB7101" w:rsidP="00621EC4">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Na hipótese de a verificação a que se refere o subitem anterior não ser procedida dentro do prazo fixado, reputar-se-á como realizada, consumando-se o recebimento definitivo no dia do esgotamento do prazo.</w:t>
      </w:r>
    </w:p>
    <w:p w14:paraId="692DA35B" w14:textId="77777777" w:rsidR="00BB7101" w:rsidRPr="00BF0CBB" w:rsidRDefault="00BB7101" w:rsidP="00621EC4">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 recebimento definitivo, ato que concretiza o ateste da execução dos serviços, será realizado pelo fiscal do contrato.</w:t>
      </w:r>
    </w:p>
    <w:p w14:paraId="2957B1E6" w14:textId="1776D7D3" w:rsidR="00C55B69" w:rsidRPr="00BF0CBB" w:rsidRDefault="00C55B69"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recebimento provisório ou definitivo do objeto não exclui a responsabilidade da Contratada pelos prejuízos resultantes da incorreta execução do contrato</w:t>
      </w:r>
      <w:r w:rsidR="00851E2F" w:rsidRPr="00BF0CBB">
        <w:rPr>
          <w:rFonts w:eastAsiaTheme="minorHAnsi" w:cs="Arial"/>
          <w:sz w:val="22"/>
          <w:szCs w:val="22"/>
          <w:lang w:eastAsia="en-US"/>
        </w:rPr>
        <w:t>, ou, em qualquer época, das garantias concedidas e das responsabilidades assumidas em contrato e por força das disposições legais em vigor (Lei n° 10.406, de 2002)</w:t>
      </w:r>
      <w:r w:rsidRPr="00BF0CBB">
        <w:rPr>
          <w:rFonts w:eastAsiaTheme="minorHAnsi" w:cs="Arial"/>
          <w:sz w:val="22"/>
          <w:szCs w:val="22"/>
          <w:lang w:eastAsia="en-US"/>
        </w:rPr>
        <w:t>.</w:t>
      </w:r>
    </w:p>
    <w:p w14:paraId="1A91E661" w14:textId="66186C85" w:rsidR="00EB7796" w:rsidRPr="00BF0CBB" w:rsidRDefault="00EB7796"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w:t>
      </w:r>
      <w:r w:rsidR="00BB7101" w:rsidRPr="00BF0CBB">
        <w:rPr>
          <w:rFonts w:eastAsiaTheme="minorHAnsi" w:cs="Arial"/>
          <w:sz w:val="22"/>
          <w:szCs w:val="22"/>
          <w:lang w:eastAsia="en-US"/>
        </w:rPr>
        <w:t>fiscal</w:t>
      </w:r>
      <w:r w:rsidRPr="00BF0CBB">
        <w:rPr>
          <w:rFonts w:eastAsiaTheme="minorHAnsi" w:cs="Arial"/>
          <w:sz w:val="22"/>
          <w:szCs w:val="22"/>
          <w:lang w:eastAsia="en-US"/>
        </w:rPr>
        <w:t xml:space="preserve">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2ED9669C" w14:textId="77777777" w:rsidR="007E51AF" w:rsidRPr="00BF0CBB" w:rsidRDefault="007E51AF"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19C7A3A9" w:rsidR="0085196B" w:rsidRPr="00BF0CBB" w:rsidRDefault="0085196B" w:rsidP="0085196B">
      <w:pPr>
        <w:pStyle w:val="Nivel1"/>
        <w:rPr>
          <w:rFonts w:cs="Arial"/>
          <w:color w:val="auto"/>
          <w:sz w:val="22"/>
          <w:szCs w:val="22"/>
        </w:rPr>
      </w:pPr>
      <w:r w:rsidRPr="00BF0CBB">
        <w:rPr>
          <w:rFonts w:cs="Arial"/>
          <w:color w:val="auto"/>
          <w:sz w:val="22"/>
          <w:szCs w:val="22"/>
        </w:rPr>
        <w:t>DO PAGAMENTO</w:t>
      </w:r>
    </w:p>
    <w:p w14:paraId="1AAD6903" w14:textId="61959939"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pagamento será efetuado pela Contratante no prazo de </w:t>
      </w:r>
      <w:r w:rsidR="00C80D3A" w:rsidRPr="00BF0CBB">
        <w:rPr>
          <w:rFonts w:eastAsiaTheme="minorHAnsi" w:cs="Arial"/>
          <w:sz w:val="22"/>
          <w:szCs w:val="22"/>
          <w:lang w:eastAsia="en-US"/>
        </w:rPr>
        <w:t>15 (quinze) dias</w:t>
      </w:r>
      <w:r w:rsidRPr="00BF0CBB">
        <w:rPr>
          <w:rFonts w:eastAsiaTheme="minorHAnsi" w:cs="Arial"/>
          <w:sz w:val="22"/>
          <w:szCs w:val="22"/>
          <w:lang w:eastAsia="en-US"/>
        </w:rPr>
        <w:t xml:space="preserve">, contados do recebimento da Nota Fiscal/Fatura. </w:t>
      </w:r>
    </w:p>
    <w:p w14:paraId="7BAC4FC3" w14:textId="64A200CF" w:rsidR="0085196B" w:rsidRPr="00BF0CBB" w:rsidRDefault="0085196B"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3D3D2745" w14:textId="3179600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emissão da Nota Fiscal/Fatura será precedida do recebimento definitivo do serviço, </w:t>
      </w:r>
      <w:r w:rsidR="00761D03" w:rsidRPr="00BF0CBB">
        <w:rPr>
          <w:rFonts w:eastAsiaTheme="minorHAnsi" w:cs="Arial"/>
          <w:sz w:val="22"/>
          <w:szCs w:val="22"/>
          <w:lang w:eastAsia="en-US"/>
        </w:rPr>
        <w:t>conforme este Termo de Referência</w:t>
      </w:r>
    </w:p>
    <w:p w14:paraId="38651B20" w14:textId="36596BA6"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 Nota Fiscal ou Fatura deverá ser obrigatoriamente acompanhada da comprovação da regularidade fiscal, constatada por meio de consulta on-line ao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ou, na impossibilidade de acesso ao referido Sistema, mediante consulta aos sítios eletrônicos oficiais ou à documentação mencionada no art. 29 da Lei nº 8.666, de 1993. </w:t>
      </w:r>
    </w:p>
    <w:p w14:paraId="19CE6DDF" w14:textId="14FEC47B" w:rsidR="0085196B" w:rsidRPr="00BF0CBB" w:rsidRDefault="0085196B"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 xml:space="preserve">Constatando-se, junto ao </w:t>
      </w:r>
      <w:r w:rsidR="003C58CC" w:rsidRPr="00BF0CBB">
        <w:rPr>
          <w:rFonts w:eastAsiaTheme="minorHAnsi" w:cs="Arial"/>
          <w:sz w:val="22"/>
          <w:szCs w:val="22"/>
          <w:lang w:eastAsia="en-US"/>
        </w:rPr>
        <w:t>SICAF</w:t>
      </w:r>
      <w:r w:rsidRPr="00BF0CBB">
        <w:rPr>
          <w:rFonts w:eastAsiaTheme="minorHAnsi" w:cs="Arial"/>
          <w:sz w:val="22"/>
          <w:szCs w:val="22"/>
          <w:lang w:eastAsia="en-US"/>
        </w:rPr>
        <w:t>, a situação de irregularidade do fornecedor contratado, deverão ser tomadas as providências previstas no do art. 31 da Instrução Normativa nº 3, de 26 de abril de 2018.</w:t>
      </w:r>
    </w:p>
    <w:p w14:paraId="1F59D649"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setor competente para proceder o pagamento deve verificar se a Nota Fiscal ou Fatura apresentada expressa os elementos necessários e essenciais do documento, tais como: </w:t>
      </w:r>
    </w:p>
    <w:p w14:paraId="547E72EE" w14:textId="02913A96"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w:t>
      </w:r>
      <w:r w:rsidR="0085196B" w:rsidRPr="00BF0CBB">
        <w:rPr>
          <w:rFonts w:eastAsiaTheme="minorHAnsi" w:cs="Arial"/>
          <w:sz w:val="22"/>
          <w:szCs w:val="22"/>
          <w:lang w:eastAsia="en-US"/>
        </w:rPr>
        <w:t xml:space="preserve"> prazo de validade; </w:t>
      </w:r>
    </w:p>
    <w:p w14:paraId="120BE816" w14:textId="6EE564B9"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A</w:t>
      </w:r>
      <w:r w:rsidR="0085196B" w:rsidRPr="00BF0CBB">
        <w:rPr>
          <w:rFonts w:eastAsiaTheme="minorHAnsi" w:cs="Arial"/>
          <w:sz w:val="22"/>
          <w:szCs w:val="22"/>
          <w:lang w:eastAsia="en-US"/>
        </w:rPr>
        <w:t xml:space="preserve"> data da emissão; </w:t>
      </w:r>
    </w:p>
    <w:p w14:paraId="6DD33C60" w14:textId="33E1435A"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lastRenderedPageBreak/>
        <w:t>O</w:t>
      </w:r>
      <w:r w:rsidR="0085196B" w:rsidRPr="00BF0CBB">
        <w:rPr>
          <w:rFonts w:eastAsiaTheme="minorHAnsi" w:cs="Arial"/>
          <w:sz w:val="22"/>
          <w:szCs w:val="22"/>
          <w:lang w:eastAsia="en-US"/>
        </w:rPr>
        <w:t xml:space="preserve">s dados do contrato e do órgão contratante; </w:t>
      </w:r>
    </w:p>
    <w:p w14:paraId="5BC02B68" w14:textId="62BA1EBA"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w:t>
      </w:r>
      <w:r w:rsidR="0085196B" w:rsidRPr="00BF0CBB">
        <w:rPr>
          <w:rFonts w:eastAsiaTheme="minorHAnsi" w:cs="Arial"/>
          <w:sz w:val="22"/>
          <w:szCs w:val="22"/>
          <w:lang w:eastAsia="en-US"/>
        </w:rPr>
        <w:t xml:space="preserve"> período de prestação dos serviços; </w:t>
      </w:r>
    </w:p>
    <w:p w14:paraId="764E0A6C" w14:textId="53C1E403"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O</w:t>
      </w:r>
      <w:r w:rsidR="0085196B" w:rsidRPr="00BF0CBB">
        <w:rPr>
          <w:rFonts w:eastAsiaTheme="minorHAnsi" w:cs="Arial"/>
          <w:sz w:val="22"/>
          <w:szCs w:val="22"/>
          <w:lang w:eastAsia="en-US"/>
        </w:rPr>
        <w:t xml:space="preserve"> valor a pagar; e </w:t>
      </w:r>
    </w:p>
    <w:p w14:paraId="3E2340FD" w14:textId="0AAF851A"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E</w:t>
      </w:r>
      <w:r w:rsidR="0085196B" w:rsidRPr="00BF0CBB">
        <w:rPr>
          <w:rFonts w:eastAsiaTheme="minorHAnsi" w:cs="Arial"/>
          <w:sz w:val="22"/>
          <w:szCs w:val="22"/>
          <w:lang w:eastAsia="en-US"/>
        </w:rPr>
        <w:t>ventual destaque do valor de retenções tributárias cabíveis.</w:t>
      </w:r>
    </w:p>
    <w:p w14:paraId="12ADEEA1"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5A83FDA" w14:textId="1701C889"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Nos termos do item 1, do Anexo VIII-A da Instrução Normativa SEGES/MP nº 05, de 2017, será efetuada a retenção ou glosa no pagamento, proporcional à irregularidade verificada, sem prejuízo das sanções cabíveis, caso se constate que a Contratada:</w:t>
      </w:r>
    </w:p>
    <w:p w14:paraId="12A64BDD" w14:textId="3FB15816"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N</w:t>
      </w:r>
      <w:r w:rsidR="0085196B" w:rsidRPr="00BF0CBB">
        <w:rPr>
          <w:rFonts w:eastAsiaTheme="minorHAnsi" w:cs="Arial"/>
          <w:sz w:val="22"/>
          <w:szCs w:val="22"/>
          <w:lang w:eastAsia="en-US"/>
        </w:rPr>
        <w:t>ão produziu os resultados acordados;</w:t>
      </w:r>
    </w:p>
    <w:p w14:paraId="10B92392" w14:textId="6D90481E"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D</w:t>
      </w:r>
      <w:r w:rsidR="0085196B" w:rsidRPr="00BF0CBB">
        <w:rPr>
          <w:rFonts w:eastAsiaTheme="minorHAnsi" w:cs="Arial"/>
          <w:sz w:val="22"/>
          <w:szCs w:val="22"/>
          <w:lang w:eastAsia="en-US"/>
        </w:rPr>
        <w:t>eixou de executar as atividades contratadas, ou não as executou com a qualidade mínima exigida;</w:t>
      </w:r>
    </w:p>
    <w:p w14:paraId="29965A0D" w14:textId="4B073597" w:rsidR="0085196B" w:rsidRPr="00BF0CBB"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D</w:t>
      </w:r>
      <w:r w:rsidR="0085196B" w:rsidRPr="00BF0CBB">
        <w:rPr>
          <w:rFonts w:eastAsiaTheme="minorHAnsi" w:cs="Arial"/>
          <w:sz w:val="22"/>
          <w:szCs w:val="22"/>
          <w:lang w:eastAsia="en-US"/>
        </w:rPr>
        <w:t>eixou de utilizar os materiais e recursos humanos exigidos para a execução do serviço, ou utilizou-os com qualidade ou quantidade inferior à demandada.</w:t>
      </w:r>
    </w:p>
    <w:p w14:paraId="7EBC9C83"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Será considerada data do pagamento o dia em que constar como emitida a ordem bancária para pagamento.</w:t>
      </w:r>
    </w:p>
    <w:p w14:paraId="24CD4733" w14:textId="648EA48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Antes de cada pagamento à contratada, será realizada consulta ao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para verificar a manutenção das condições de habilitação exigidas no edital. </w:t>
      </w:r>
    </w:p>
    <w:p w14:paraId="723141DF" w14:textId="0214CB8C"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Constatando-se, junto ao </w:t>
      </w:r>
      <w:r w:rsidR="003C58CC" w:rsidRPr="00BF0CBB">
        <w:rPr>
          <w:rFonts w:eastAsiaTheme="minorHAnsi" w:cs="Arial"/>
          <w:sz w:val="22"/>
          <w:szCs w:val="22"/>
          <w:lang w:eastAsia="en-US"/>
        </w:rPr>
        <w:t>SICAF</w:t>
      </w:r>
      <w:r w:rsidRPr="00BF0CBB">
        <w:rPr>
          <w:rFonts w:eastAsiaTheme="minorHAnsi" w:cs="Arial"/>
          <w:sz w:val="22"/>
          <w:szCs w:val="22"/>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8CC3D5C"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Previamente à emissão de nota de empenho e a cada pagamento, a Administração deverá realizar consulta ao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012F0068"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Havendo a efetiva execução do objeto, os pagamentos serão realizados normalmente, até que se decida pela rescisão do contrato, caso a contratada não regularize sua situação junto ao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w:t>
      </w:r>
    </w:p>
    <w:p w14:paraId="416866CA" w14:textId="46EF4819" w:rsidR="0085196B" w:rsidRPr="00BF0CBB" w:rsidRDefault="0085196B" w:rsidP="00542275">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 xml:space="preserve">Será rescindido o contrato em execução com a contratada inadimplente no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salvo por motivo de economicidade, segurança nacional ou outro de interesse público de alta relevância, devidamente justificado, em qualquer caso, pela máxima autoridade da contratante. </w:t>
      </w:r>
    </w:p>
    <w:p w14:paraId="5D3C31B7" w14:textId="59710E8D"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lastRenderedPageBreak/>
        <w:t>Quando do pagamento, será efetuada a retenção tributária prevista na legislação aplicável, em especial a prevista no artigo 31 da Lei 8.212, de 1993, nos termos do item 6 do Anexo XI da IN SEGES/</w:t>
      </w:r>
      <w:r w:rsidR="003C58CC" w:rsidRPr="00BF0CBB">
        <w:rPr>
          <w:rFonts w:eastAsiaTheme="minorHAnsi" w:cs="Arial"/>
          <w:sz w:val="22"/>
          <w:szCs w:val="22"/>
          <w:lang w:eastAsia="en-US"/>
        </w:rPr>
        <w:t>MP</w:t>
      </w:r>
      <w:r w:rsidRPr="00BF0CBB">
        <w:rPr>
          <w:rFonts w:eastAsiaTheme="minorHAnsi" w:cs="Arial"/>
          <w:sz w:val="22"/>
          <w:szCs w:val="22"/>
          <w:lang w:eastAsia="en-US"/>
        </w:rPr>
        <w:t xml:space="preserve"> n. 5/2017, quando couber.</w:t>
      </w:r>
    </w:p>
    <w:p w14:paraId="6EEBCC14" w14:textId="464B5E6F"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5ABB86BD" w:rsidR="0085196B" w:rsidRPr="00BF0CBB"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BF0CBB" w:rsidRDefault="0085196B" w:rsidP="0085196B">
      <w:pPr>
        <w:spacing w:line="276" w:lineRule="auto"/>
        <w:ind w:left="426" w:firstLine="708"/>
        <w:jc w:val="both"/>
        <w:rPr>
          <w:rFonts w:cs="Arial"/>
          <w:szCs w:val="20"/>
        </w:rPr>
      </w:pPr>
      <w:r w:rsidRPr="00BF0CBB">
        <w:rPr>
          <w:rFonts w:cs="Arial"/>
          <w:szCs w:val="20"/>
        </w:rPr>
        <w:t>EM = I x N x VP, sendo:</w:t>
      </w:r>
    </w:p>
    <w:p w14:paraId="0A81D292" w14:textId="77777777" w:rsidR="0085196B" w:rsidRPr="00BF0CBB" w:rsidRDefault="0085196B" w:rsidP="0085196B">
      <w:pPr>
        <w:tabs>
          <w:tab w:val="left" w:pos="1701"/>
        </w:tabs>
        <w:spacing w:line="276" w:lineRule="auto"/>
        <w:ind w:firstLine="1134"/>
        <w:jc w:val="both"/>
        <w:rPr>
          <w:rFonts w:cs="Arial"/>
          <w:snapToGrid w:val="0"/>
          <w:szCs w:val="20"/>
        </w:rPr>
      </w:pPr>
      <w:r w:rsidRPr="00BF0CBB">
        <w:rPr>
          <w:rFonts w:cs="Arial"/>
          <w:snapToGrid w:val="0"/>
          <w:szCs w:val="20"/>
        </w:rPr>
        <w:t>EM = Encargos moratórios;</w:t>
      </w:r>
    </w:p>
    <w:p w14:paraId="3177D85F" w14:textId="77777777" w:rsidR="0085196B" w:rsidRPr="00BF0CBB" w:rsidRDefault="0085196B" w:rsidP="0085196B">
      <w:pPr>
        <w:tabs>
          <w:tab w:val="left" w:pos="1701"/>
        </w:tabs>
        <w:spacing w:line="276" w:lineRule="auto"/>
        <w:ind w:firstLine="1134"/>
        <w:jc w:val="both"/>
        <w:rPr>
          <w:rFonts w:cs="Arial"/>
          <w:szCs w:val="20"/>
        </w:rPr>
      </w:pPr>
      <w:r w:rsidRPr="00BF0CBB">
        <w:rPr>
          <w:rFonts w:cs="Arial"/>
          <w:szCs w:val="20"/>
        </w:rPr>
        <w:t>N = Número de dias entre a data prevista para o pagamento e a do efetivo pagamento;</w:t>
      </w:r>
    </w:p>
    <w:p w14:paraId="5DB48A3A" w14:textId="77777777" w:rsidR="0085196B" w:rsidRPr="00BF0CBB" w:rsidRDefault="0085196B" w:rsidP="0085196B">
      <w:pPr>
        <w:tabs>
          <w:tab w:val="left" w:pos="1701"/>
        </w:tabs>
        <w:spacing w:line="276" w:lineRule="auto"/>
        <w:ind w:firstLine="1134"/>
        <w:jc w:val="both"/>
        <w:rPr>
          <w:rFonts w:cs="Arial"/>
          <w:szCs w:val="20"/>
        </w:rPr>
      </w:pPr>
      <w:r w:rsidRPr="00BF0CBB">
        <w:rPr>
          <w:rFonts w:cs="Arial"/>
          <w:szCs w:val="20"/>
        </w:rPr>
        <w:t>VP = Valor da parcela a ser paga.</w:t>
      </w:r>
    </w:p>
    <w:p w14:paraId="7227CB7A" w14:textId="77777777" w:rsidR="0085196B" w:rsidRPr="00BF0CBB" w:rsidRDefault="0085196B" w:rsidP="0085196B">
      <w:pPr>
        <w:tabs>
          <w:tab w:val="left" w:pos="1701"/>
        </w:tabs>
        <w:spacing w:line="276" w:lineRule="auto"/>
        <w:ind w:firstLine="1134"/>
        <w:jc w:val="both"/>
        <w:rPr>
          <w:rFonts w:cs="Arial"/>
          <w:szCs w:val="20"/>
        </w:rPr>
      </w:pPr>
      <w:r w:rsidRPr="00BF0CBB">
        <w:rPr>
          <w:rFonts w:cs="Arial"/>
          <w:snapToGrid w:val="0"/>
          <w:szCs w:val="20"/>
        </w:rPr>
        <w:t xml:space="preserve">I = Índice de compensação financeira = </w:t>
      </w:r>
      <w:r w:rsidRPr="00BF0CBB">
        <w:rPr>
          <w:rFonts w:cs="Arial"/>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5196B" w:rsidRPr="00BF0CBB" w14:paraId="73763953" w14:textId="77777777" w:rsidTr="0085196B">
        <w:tc>
          <w:tcPr>
            <w:tcW w:w="2214" w:type="dxa"/>
            <w:vMerge w:val="restart"/>
            <w:vAlign w:val="center"/>
            <w:hideMark/>
          </w:tcPr>
          <w:p w14:paraId="7BB6038C" w14:textId="77777777" w:rsidR="0085196B" w:rsidRPr="00BF0CBB" w:rsidRDefault="0085196B">
            <w:pPr>
              <w:tabs>
                <w:tab w:val="left" w:pos="1701"/>
              </w:tabs>
              <w:spacing w:line="276" w:lineRule="auto"/>
              <w:jc w:val="both"/>
              <w:rPr>
                <w:rFonts w:cs="Arial"/>
                <w:szCs w:val="20"/>
              </w:rPr>
            </w:pPr>
            <w:r w:rsidRPr="00BF0CBB">
              <w:rPr>
                <w:rFonts w:cs="Arial"/>
                <w:szCs w:val="20"/>
              </w:rPr>
              <w:t>I = (TX)</w:t>
            </w:r>
          </w:p>
        </w:tc>
        <w:tc>
          <w:tcPr>
            <w:tcW w:w="446" w:type="dxa"/>
            <w:vMerge w:val="restart"/>
            <w:vAlign w:val="center"/>
            <w:hideMark/>
          </w:tcPr>
          <w:p w14:paraId="10B3185C" w14:textId="77777777" w:rsidR="0085196B" w:rsidRPr="00BF0CBB" w:rsidRDefault="0085196B">
            <w:pPr>
              <w:tabs>
                <w:tab w:val="left" w:pos="1701"/>
              </w:tabs>
              <w:spacing w:line="276" w:lineRule="auto"/>
              <w:jc w:val="both"/>
              <w:rPr>
                <w:rFonts w:cs="Arial"/>
                <w:szCs w:val="20"/>
              </w:rPr>
            </w:pPr>
            <w:r w:rsidRPr="00BF0CBB">
              <w:rPr>
                <w:rFonts w:cs="Arial"/>
                <w:szCs w:val="20"/>
              </w:rPr>
              <w:t xml:space="preserve">I = </w:t>
            </w:r>
          </w:p>
        </w:tc>
        <w:tc>
          <w:tcPr>
            <w:tcW w:w="1276" w:type="dxa"/>
            <w:tcBorders>
              <w:top w:val="nil"/>
              <w:left w:val="nil"/>
              <w:bottom w:val="single" w:sz="4" w:space="0" w:color="auto"/>
              <w:right w:val="nil"/>
            </w:tcBorders>
            <w:hideMark/>
          </w:tcPr>
          <w:p w14:paraId="41BA36B2" w14:textId="77777777" w:rsidR="0085196B" w:rsidRPr="00BF0CBB" w:rsidRDefault="0085196B">
            <w:pPr>
              <w:tabs>
                <w:tab w:val="left" w:pos="1701"/>
              </w:tabs>
              <w:spacing w:line="276" w:lineRule="auto"/>
              <w:jc w:val="both"/>
              <w:rPr>
                <w:rFonts w:cs="Arial"/>
                <w:szCs w:val="20"/>
              </w:rPr>
            </w:pPr>
            <w:r w:rsidRPr="00BF0CBB">
              <w:rPr>
                <w:rFonts w:cs="Arial"/>
                <w:szCs w:val="20"/>
              </w:rPr>
              <w:t>( 6 / 100 )</w:t>
            </w:r>
          </w:p>
        </w:tc>
        <w:tc>
          <w:tcPr>
            <w:tcW w:w="4926" w:type="dxa"/>
            <w:vMerge w:val="restart"/>
            <w:vAlign w:val="center"/>
          </w:tcPr>
          <w:p w14:paraId="1FD12A20" w14:textId="77777777" w:rsidR="0085196B" w:rsidRPr="00BF0CBB" w:rsidRDefault="0085196B">
            <w:pPr>
              <w:tabs>
                <w:tab w:val="left" w:pos="1701"/>
              </w:tabs>
              <w:spacing w:line="276" w:lineRule="auto"/>
              <w:ind w:left="742"/>
              <w:jc w:val="both"/>
              <w:rPr>
                <w:rFonts w:cs="Arial"/>
                <w:szCs w:val="20"/>
              </w:rPr>
            </w:pPr>
            <w:r w:rsidRPr="00BF0CBB">
              <w:rPr>
                <w:rFonts w:cs="Arial"/>
                <w:szCs w:val="20"/>
              </w:rPr>
              <w:t>I = 0,00016438</w:t>
            </w:r>
          </w:p>
          <w:p w14:paraId="3649D0D6" w14:textId="77777777" w:rsidR="0085196B" w:rsidRPr="00BF0CBB" w:rsidRDefault="0085196B">
            <w:pPr>
              <w:tabs>
                <w:tab w:val="left" w:pos="1701"/>
              </w:tabs>
              <w:spacing w:line="276" w:lineRule="auto"/>
              <w:ind w:left="742"/>
              <w:jc w:val="both"/>
              <w:rPr>
                <w:rFonts w:cs="Arial"/>
                <w:szCs w:val="20"/>
              </w:rPr>
            </w:pPr>
            <w:r w:rsidRPr="00BF0CBB">
              <w:rPr>
                <w:rFonts w:cs="Arial"/>
                <w:szCs w:val="20"/>
              </w:rPr>
              <w:t>TX = Percentual da taxa anual = 6%</w:t>
            </w:r>
          </w:p>
          <w:p w14:paraId="48DD78F5" w14:textId="77777777" w:rsidR="0085196B" w:rsidRPr="00BF0CBB" w:rsidRDefault="0085196B">
            <w:pPr>
              <w:tabs>
                <w:tab w:val="left" w:pos="1701"/>
              </w:tabs>
              <w:spacing w:line="276" w:lineRule="auto"/>
              <w:ind w:left="742"/>
              <w:jc w:val="both"/>
              <w:rPr>
                <w:rFonts w:cs="Arial"/>
                <w:szCs w:val="20"/>
              </w:rPr>
            </w:pPr>
          </w:p>
        </w:tc>
      </w:tr>
      <w:tr w:rsidR="0085196B" w:rsidRPr="00BF0CBB" w14:paraId="610884CB" w14:textId="77777777" w:rsidTr="0085196B">
        <w:tc>
          <w:tcPr>
            <w:tcW w:w="0" w:type="auto"/>
            <w:vMerge/>
            <w:vAlign w:val="center"/>
            <w:hideMark/>
          </w:tcPr>
          <w:p w14:paraId="19821BB1" w14:textId="77777777" w:rsidR="0085196B" w:rsidRPr="00BF0CBB" w:rsidRDefault="0085196B">
            <w:pPr>
              <w:rPr>
                <w:rFonts w:cs="Arial"/>
                <w:szCs w:val="20"/>
              </w:rPr>
            </w:pPr>
          </w:p>
        </w:tc>
        <w:tc>
          <w:tcPr>
            <w:tcW w:w="0" w:type="auto"/>
            <w:vMerge/>
            <w:vAlign w:val="center"/>
            <w:hideMark/>
          </w:tcPr>
          <w:p w14:paraId="2F6D1691" w14:textId="77777777" w:rsidR="0085196B" w:rsidRPr="00BF0CBB" w:rsidRDefault="0085196B">
            <w:pPr>
              <w:rPr>
                <w:rFonts w:cs="Arial"/>
                <w:szCs w:val="20"/>
              </w:rPr>
            </w:pPr>
          </w:p>
        </w:tc>
        <w:tc>
          <w:tcPr>
            <w:tcW w:w="1276" w:type="dxa"/>
            <w:tcBorders>
              <w:top w:val="single" w:sz="4" w:space="0" w:color="auto"/>
              <w:left w:val="nil"/>
              <w:bottom w:val="nil"/>
              <w:right w:val="nil"/>
            </w:tcBorders>
            <w:hideMark/>
          </w:tcPr>
          <w:p w14:paraId="0707742C" w14:textId="77777777" w:rsidR="0085196B" w:rsidRPr="00BF0CBB" w:rsidRDefault="0085196B">
            <w:pPr>
              <w:tabs>
                <w:tab w:val="left" w:pos="1701"/>
              </w:tabs>
              <w:spacing w:line="276" w:lineRule="auto"/>
              <w:jc w:val="both"/>
              <w:rPr>
                <w:rFonts w:cs="Arial"/>
                <w:szCs w:val="20"/>
              </w:rPr>
            </w:pPr>
            <w:r w:rsidRPr="00BF0CBB">
              <w:rPr>
                <w:rFonts w:cs="Arial"/>
                <w:szCs w:val="20"/>
              </w:rPr>
              <w:t>365</w:t>
            </w:r>
          </w:p>
        </w:tc>
        <w:tc>
          <w:tcPr>
            <w:tcW w:w="0" w:type="auto"/>
            <w:vMerge/>
            <w:vAlign w:val="center"/>
            <w:hideMark/>
          </w:tcPr>
          <w:p w14:paraId="44007801" w14:textId="77777777" w:rsidR="0085196B" w:rsidRPr="00BF0CBB" w:rsidRDefault="0085196B">
            <w:pPr>
              <w:rPr>
                <w:rFonts w:cs="Arial"/>
                <w:szCs w:val="20"/>
              </w:rPr>
            </w:pPr>
          </w:p>
        </w:tc>
      </w:tr>
    </w:tbl>
    <w:p w14:paraId="2250D020" w14:textId="77777777" w:rsidR="00E84D9B" w:rsidRPr="00BF0CBB" w:rsidRDefault="00E84D9B" w:rsidP="00542275">
      <w:pPr>
        <w:pStyle w:val="Nivel1"/>
        <w:rPr>
          <w:rFonts w:cs="Arial"/>
          <w:color w:val="auto"/>
          <w:sz w:val="22"/>
          <w:szCs w:val="22"/>
        </w:rPr>
      </w:pPr>
      <w:r w:rsidRPr="00BF0CBB">
        <w:rPr>
          <w:rFonts w:cs="Arial"/>
          <w:color w:val="auto"/>
          <w:sz w:val="22"/>
          <w:szCs w:val="22"/>
        </w:rPr>
        <w:t>GARANTIA DA EXECUÇÃO</w:t>
      </w:r>
    </w:p>
    <w:p w14:paraId="5417F37A" w14:textId="0FBA23E2" w:rsidR="00E84D9B" w:rsidRPr="00BF0CBB" w:rsidRDefault="00E84D9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Não haverá exigência de g</w:t>
      </w:r>
      <w:r w:rsidR="00542275" w:rsidRPr="00BF0CBB">
        <w:rPr>
          <w:rFonts w:eastAsiaTheme="minorHAnsi" w:cs="Arial"/>
          <w:sz w:val="22"/>
          <w:szCs w:val="22"/>
          <w:lang w:eastAsia="en-US"/>
        </w:rPr>
        <w:t>arantia contratual da execução por se tratar de serviço pontual, a ser prestado de uma única vez, sendo efetuado o pagamento apenas após a conclusão total do serviço.</w:t>
      </w:r>
    </w:p>
    <w:p w14:paraId="261AB173" w14:textId="32803F3D" w:rsidR="00DB206B" w:rsidRPr="00BF0CBB" w:rsidRDefault="00DB206B" w:rsidP="00542275">
      <w:pPr>
        <w:pStyle w:val="Nivel1"/>
        <w:rPr>
          <w:rFonts w:cs="Arial"/>
          <w:color w:val="auto"/>
          <w:sz w:val="22"/>
          <w:szCs w:val="22"/>
        </w:rPr>
      </w:pPr>
      <w:r w:rsidRPr="00BF0CBB">
        <w:rPr>
          <w:rFonts w:cs="Arial"/>
          <w:color w:val="auto"/>
          <w:sz w:val="22"/>
          <w:szCs w:val="22"/>
        </w:rPr>
        <w:t>DAS SANÇÕES ADMINISTRATIVAS</w:t>
      </w:r>
    </w:p>
    <w:p w14:paraId="4F80CCC9" w14:textId="77777777" w:rsidR="00B222EE" w:rsidRPr="00BF0CBB" w:rsidRDefault="00B222EE" w:rsidP="003241DC">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Comete infração administrativa nos termos da Lei nº 10.520, de 2002, a CONTRATADA que:</w:t>
      </w:r>
    </w:p>
    <w:p w14:paraId="1B3D104A"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inexecutar total ou parcialmente qualquer das obrigações assumidas em decorrência da contratação;</w:t>
      </w:r>
    </w:p>
    <w:p w14:paraId="10A6B57C"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ensejar o retardamento da execução do objeto;</w:t>
      </w:r>
    </w:p>
    <w:p w14:paraId="668D1E47"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falhar ou fraudar na execução do contrato;</w:t>
      </w:r>
    </w:p>
    <w:p w14:paraId="4ECF6787"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comportar-se de modo inidôneo; ou</w:t>
      </w:r>
    </w:p>
    <w:p w14:paraId="05C388CD" w14:textId="122FFFD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cometer fraude fiscal.</w:t>
      </w:r>
    </w:p>
    <w:p w14:paraId="37A3FCC5" w14:textId="77777777" w:rsidR="00747AC8" w:rsidRPr="00BF0CBB" w:rsidRDefault="00747AC8"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não mantiver a proposta.</w:t>
      </w:r>
    </w:p>
    <w:p w14:paraId="52E177B2" w14:textId="77777777" w:rsidR="00B222EE" w:rsidRPr="00BF0CBB"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Pela inexecução total ou parcial do objeto deste contrato, a Administração pode aplicar à CONTRATADA as seguintes sanções:</w:t>
      </w:r>
    </w:p>
    <w:p w14:paraId="2EB9CACC" w14:textId="08E02E5B"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Advertência por escrito</w:t>
      </w:r>
      <w:r w:rsidRPr="00BF0CBB">
        <w:rPr>
          <w:rFonts w:eastAsiaTheme="minorHAnsi" w:cs="Arial"/>
          <w:sz w:val="22"/>
          <w:szCs w:val="22"/>
          <w:lang w:eastAsia="en-US"/>
        </w:rPr>
        <w:t>,</w:t>
      </w:r>
      <w:r w:rsidR="00464C69" w:rsidRPr="00BF0CBB">
        <w:rPr>
          <w:rFonts w:eastAsiaTheme="minorHAnsi" w:cs="Arial"/>
          <w:sz w:val="22"/>
          <w:szCs w:val="22"/>
          <w:lang w:eastAsia="en-US"/>
        </w:rPr>
        <w:t xml:space="preserve"> </w:t>
      </w:r>
      <w:r w:rsidRPr="00BF0CBB">
        <w:rPr>
          <w:rFonts w:eastAsiaTheme="minorHAnsi" w:cs="Arial"/>
          <w:sz w:val="22"/>
          <w:szCs w:val="22"/>
          <w:lang w:eastAsia="en-US"/>
        </w:rPr>
        <w:t>quando do não cumprimento de quaisquer das obrigações contratuais consideradas faltas leves, assim entendidas aquelas que não acarretam prejuízos significativos para o serviço contratado;</w:t>
      </w:r>
    </w:p>
    <w:p w14:paraId="28A5B380" w14:textId="77777777"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Multa</w:t>
      </w:r>
      <w:r w:rsidRPr="00BF0CBB">
        <w:rPr>
          <w:rFonts w:eastAsiaTheme="minorHAnsi" w:cs="Arial"/>
          <w:sz w:val="22"/>
          <w:szCs w:val="22"/>
          <w:lang w:eastAsia="en-US"/>
        </w:rPr>
        <w:t xml:space="preserve"> de: </w:t>
      </w:r>
    </w:p>
    <w:p w14:paraId="77E40299" w14:textId="4C3C6061" w:rsidR="00B222EE" w:rsidRPr="00BF0CB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 xml:space="preserve">0,1% (um décimo por cento) até </w:t>
      </w:r>
      <w:r w:rsidR="00BF0CBB" w:rsidRPr="00BF0CBB">
        <w:rPr>
          <w:rFonts w:eastAsiaTheme="minorHAnsi" w:cs="Arial"/>
          <w:sz w:val="22"/>
          <w:szCs w:val="22"/>
          <w:lang w:eastAsia="en-US"/>
        </w:rPr>
        <w:t>4</w:t>
      </w:r>
      <w:r w:rsidRPr="00BF0CBB">
        <w:rPr>
          <w:rFonts w:eastAsiaTheme="minorHAnsi" w:cs="Arial"/>
          <w:sz w:val="22"/>
          <w:szCs w:val="22"/>
          <w:lang w:eastAsia="en-US"/>
        </w:rPr>
        <w:t>% (</w:t>
      </w:r>
      <w:r w:rsidR="00BF0CBB" w:rsidRPr="00BF0CBB">
        <w:rPr>
          <w:rFonts w:eastAsiaTheme="minorHAnsi" w:cs="Arial"/>
          <w:sz w:val="22"/>
          <w:szCs w:val="22"/>
          <w:lang w:eastAsia="en-US"/>
        </w:rPr>
        <w:t>quatro</w:t>
      </w:r>
      <w:r w:rsidRPr="00BF0CBB">
        <w:rPr>
          <w:rFonts w:eastAsiaTheme="minorHAnsi" w:cs="Arial"/>
          <w:sz w:val="22"/>
          <w:szCs w:val="22"/>
          <w:lang w:eastAsia="en-US"/>
        </w:rPr>
        <w:t xml:space="preserve">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513B1D78" w:rsidR="00B222EE" w:rsidRPr="00BF0CBB" w:rsidRDefault="00BF0CB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lastRenderedPageBreak/>
        <w:t>5</w:t>
      </w:r>
      <w:r w:rsidR="00B222EE" w:rsidRPr="00BF0CBB">
        <w:rPr>
          <w:rFonts w:eastAsiaTheme="minorHAnsi" w:cs="Arial"/>
          <w:sz w:val="22"/>
          <w:szCs w:val="22"/>
          <w:lang w:eastAsia="en-US"/>
        </w:rPr>
        <w:t>% (</w:t>
      </w:r>
      <w:r w:rsidRPr="00BF0CBB">
        <w:rPr>
          <w:rFonts w:eastAsiaTheme="minorHAnsi" w:cs="Arial"/>
          <w:sz w:val="22"/>
          <w:szCs w:val="22"/>
          <w:lang w:eastAsia="en-US"/>
        </w:rPr>
        <w:t>cinco</w:t>
      </w:r>
      <w:r w:rsidR="00B222EE" w:rsidRPr="00BF0CBB">
        <w:rPr>
          <w:rFonts w:eastAsiaTheme="minorHAnsi" w:cs="Arial"/>
          <w:sz w:val="22"/>
          <w:szCs w:val="22"/>
          <w:lang w:eastAsia="en-US"/>
        </w:rPr>
        <w:t xml:space="preserve"> por cento) até 10% (dez por cento) sobre o valor adjudicado, em caso de atraso na execução do objeto, por período superior ao previsto no subitem </w:t>
      </w:r>
      <w:r w:rsidR="00000DB1" w:rsidRPr="00BF0CBB">
        <w:rPr>
          <w:rFonts w:eastAsiaTheme="minorHAnsi" w:cs="Arial"/>
          <w:sz w:val="22"/>
          <w:szCs w:val="22"/>
          <w:lang w:eastAsia="en-US"/>
        </w:rPr>
        <w:t>acima,</w:t>
      </w:r>
      <w:r w:rsidR="00B222EE" w:rsidRPr="00BF0CBB">
        <w:rPr>
          <w:rFonts w:eastAsiaTheme="minorHAnsi" w:cs="Arial"/>
          <w:sz w:val="22"/>
          <w:szCs w:val="22"/>
          <w:lang w:eastAsia="en-US"/>
        </w:rPr>
        <w:t xml:space="preserve"> ou de inexecução parcial da obrigação assumida;</w:t>
      </w:r>
    </w:p>
    <w:p w14:paraId="415E81C5" w14:textId="56B050E4" w:rsidR="00B222EE" w:rsidRPr="00BF0CBB" w:rsidRDefault="00BF0CB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1</w:t>
      </w:r>
      <w:r w:rsidR="00B222EE" w:rsidRPr="00BF0CBB">
        <w:rPr>
          <w:rFonts w:eastAsiaTheme="minorHAnsi" w:cs="Arial"/>
          <w:sz w:val="22"/>
          <w:szCs w:val="22"/>
          <w:lang w:eastAsia="en-US"/>
        </w:rPr>
        <w:t>1% (</w:t>
      </w:r>
      <w:r w:rsidRPr="00BF0CBB">
        <w:rPr>
          <w:rFonts w:eastAsiaTheme="minorHAnsi" w:cs="Arial"/>
          <w:sz w:val="22"/>
          <w:szCs w:val="22"/>
          <w:lang w:eastAsia="en-US"/>
        </w:rPr>
        <w:t>onze</w:t>
      </w:r>
      <w:r w:rsidR="00B222EE" w:rsidRPr="00BF0CBB">
        <w:rPr>
          <w:rFonts w:eastAsiaTheme="minorHAnsi" w:cs="Arial"/>
          <w:sz w:val="22"/>
          <w:szCs w:val="22"/>
          <w:lang w:eastAsia="en-US"/>
        </w:rPr>
        <w:t xml:space="preserve"> por cento) até 15% (quinze por cento) sobre o valor adjudicado, em caso de inexecução total da obrigação assumida;</w:t>
      </w:r>
    </w:p>
    <w:p w14:paraId="61A53DD4" w14:textId="25CA22B8" w:rsidR="00B222EE" w:rsidRPr="00BF0CB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 xml:space="preserve">0,2% a 3,2% por dia sobre o valor mensal do contrato, conforme detalhamento constante das tabelas 1 e 2, </w:t>
      </w:r>
      <w:r w:rsidR="00FC31E2" w:rsidRPr="00BF0CBB">
        <w:rPr>
          <w:rFonts w:eastAsiaTheme="minorHAnsi" w:cs="Arial"/>
          <w:sz w:val="22"/>
          <w:szCs w:val="22"/>
          <w:lang w:eastAsia="en-US"/>
        </w:rPr>
        <w:t>abaixo</w:t>
      </w:r>
      <w:r w:rsidRPr="00BF0CBB">
        <w:rPr>
          <w:rFonts w:eastAsiaTheme="minorHAnsi" w:cs="Arial"/>
          <w:sz w:val="22"/>
          <w:szCs w:val="22"/>
          <w:lang w:eastAsia="en-US"/>
        </w:rPr>
        <w:t>; e</w:t>
      </w:r>
    </w:p>
    <w:p w14:paraId="48B36AAA" w14:textId="380F417C" w:rsidR="00B222EE" w:rsidRPr="00BF0CB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0,07% (sete centésimos por cento) do valor do contrato por dia de atraso na apresentação da garantia (seja para reforço ou por ocasião de prorrogação), observado o máximo de 2% (dois por cento</w:t>
      </w:r>
      <w:r w:rsidR="00880180" w:rsidRPr="00BF0CBB">
        <w:rPr>
          <w:rFonts w:eastAsiaTheme="minorHAnsi" w:cs="Arial"/>
          <w:sz w:val="22"/>
          <w:szCs w:val="22"/>
          <w:lang w:eastAsia="en-US"/>
        </w:rPr>
        <w:t>)</w:t>
      </w:r>
      <w:r w:rsidRPr="00BF0CBB">
        <w:rPr>
          <w:rFonts w:eastAsiaTheme="minorHAnsi" w:cs="Arial"/>
          <w:sz w:val="22"/>
          <w:szCs w:val="22"/>
          <w:lang w:eastAsia="en-US"/>
        </w:rPr>
        <w:t>. O atraso superior a 25 (vinte e cinco) dias autorizará a Administração CONTRATANTE a promover a rescisão do contrato;</w:t>
      </w:r>
    </w:p>
    <w:p w14:paraId="260FE6C2" w14:textId="77777777" w:rsidR="00B222EE" w:rsidRPr="00BF0CB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as penalidades de multa decorrentes de fatos diversos serão consideradas independentes entre si.</w:t>
      </w:r>
    </w:p>
    <w:p w14:paraId="67918655" w14:textId="77777777" w:rsidR="00227104" w:rsidRPr="00BF0CBB" w:rsidRDefault="00227104"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Suspensão de licitar e impedimento de contratar com o órgão</w:t>
      </w:r>
      <w:r w:rsidRPr="00BF0CBB">
        <w:rPr>
          <w:rFonts w:eastAsiaTheme="minorHAnsi" w:cs="Arial"/>
          <w:sz w:val="22"/>
          <w:szCs w:val="22"/>
          <w:lang w:eastAsia="en-US"/>
        </w:rPr>
        <w:t>, entidade ou unidade administrativa pela qual a Administração Pública opera e atua concretamente, pelo prazo de até dois anos;</w:t>
      </w:r>
    </w:p>
    <w:p w14:paraId="4B1462A3" w14:textId="60346079" w:rsidR="00B222EE" w:rsidRPr="00BF0CB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Sanção de impedimento de licitar e contratar com órgãos e entidades da União</w:t>
      </w:r>
      <w:r w:rsidRPr="00BF0CBB">
        <w:rPr>
          <w:rFonts w:eastAsiaTheme="minorHAnsi" w:cs="Arial"/>
          <w:sz w:val="22"/>
          <w:szCs w:val="22"/>
          <w:lang w:eastAsia="en-US"/>
        </w:rPr>
        <w:t xml:space="preserve">, com o consequente descredenciamento no </w:t>
      </w:r>
      <w:r w:rsidR="003C58CC" w:rsidRPr="00BF0CBB">
        <w:rPr>
          <w:rFonts w:eastAsiaTheme="minorHAnsi" w:cs="Arial"/>
          <w:sz w:val="22"/>
          <w:szCs w:val="22"/>
          <w:lang w:eastAsia="en-US"/>
        </w:rPr>
        <w:t>SICAF</w:t>
      </w:r>
      <w:r w:rsidRPr="00BF0CBB">
        <w:rPr>
          <w:rFonts w:eastAsiaTheme="minorHAnsi" w:cs="Arial"/>
          <w:sz w:val="22"/>
          <w:szCs w:val="22"/>
          <w:lang w:eastAsia="en-US"/>
        </w:rPr>
        <w:t xml:space="preserve"> pelo prazo de até cinco anos.</w:t>
      </w:r>
    </w:p>
    <w:p w14:paraId="1D24FD7F" w14:textId="5B81FCE2" w:rsidR="00E84D9B" w:rsidRPr="00BF0CBB" w:rsidRDefault="00E84D9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BF0CBB">
        <w:rPr>
          <w:rFonts w:eastAsiaTheme="minorHAnsi" w:cs="Arial"/>
          <w:sz w:val="22"/>
          <w:szCs w:val="22"/>
          <w:lang w:eastAsia="en-US"/>
        </w:rPr>
        <w:t>A Sanção de impedimento de licitar e contratar prevista neste subitem também é aplicável em quaisquer das hipóteses previstas como infração administrativa no subitem 1</w:t>
      </w:r>
      <w:r w:rsidR="00411A98" w:rsidRPr="00BF0CBB">
        <w:rPr>
          <w:rFonts w:eastAsiaTheme="minorHAnsi" w:cs="Arial"/>
          <w:sz w:val="22"/>
          <w:szCs w:val="22"/>
          <w:lang w:eastAsia="en-US"/>
        </w:rPr>
        <w:t>8</w:t>
      </w:r>
      <w:r w:rsidRPr="00BF0CBB">
        <w:rPr>
          <w:rFonts w:eastAsiaTheme="minorHAnsi" w:cs="Arial"/>
          <w:sz w:val="22"/>
          <w:szCs w:val="22"/>
          <w:lang w:eastAsia="en-US"/>
        </w:rPr>
        <w:t>.1 deste Termo de Referência.</w:t>
      </w:r>
    </w:p>
    <w:p w14:paraId="43D6F17F" w14:textId="77777777" w:rsidR="006437EC" w:rsidRPr="00BF0CBB" w:rsidRDefault="006437E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b/>
          <w:sz w:val="22"/>
          <w:szCs w:val="22"/>
          <w:lang w:eastAsia="en-US"/>
        </w:rPr>
        <w:t xml:space="preserve">Declaração de inidoneidade para licitar ou </w:t>
      </w:r>
      <w:r w:rsidRPr="00BF0CBB">
        <w:rPr>
          <w:rFonts w:eastAsiaTheme="minorHAnsi" w:cs="Arial"/>
          <w:sz w:val="22"/>
          <w:szCs w:val="22"/>
          <w:lang w:eastAsia="en-US"/>
        </w:rPr>
        <w:t xml:space="preserve">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16909501" w:rsidR="00B222EE" w:rsidRPr="00BF0CBB"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As sanções </w:t>
      </w:r>
      <w:r w:rsidR="00E57624" w:rsidRPr="00BF0CBB">
        <w:rPr>
          <w:rFonts w:eastAsiaTheme="minorHAnsi" w:cs="Arial"/>
          <w:sz w:val="22"/>
          <w:szCs w:val="22"/>
          <w:lang w:eastAsia="en-US"/>
        </w:rPr>
        <w:t xml:space="preserve">previstas nos subitens </w:t>
      </w:r>
      <w:r w:rsidR="00E84D9B" w:rsidRPr="00BF0CBB">
        <w:rPr>
          <w:rFonts w:eastAsiaTheme="minorHAnsi" w:cs="Arial"/>
          <w:sz w:val="22"/>
          <w:szCs w:val="22"/>
          <w:lang w:eastAsia="en-US"/>
        </w:rPr>
        <w:t>1</w:t>
      </w:r>
      <w:r w:rsidR="00411A98" w:rsidRPr="00BF0CBB">
        <w:rPr>
          <w:rFonts w:eastAsiaTheme="minorHAnsi" w:cs="Arial"/>
          <w:sz w:val="22"/>
          <w:szCs w:val="22"/>
          <w:lang w:eastAsia="en-US"/>
        </w:rPr>
        <w:t>8</w:t>
      </w:r>
      <w:r w:rsidR="00BA6694" w:rsidRPr="00BF0CBB">
        <w:rPr>
          <w:rFonts w:eastAsiaTheme="minorHAnsi" w:cs="Arial"/>
          <w:sz w:val="22"/>
          <w:szCs w:val="22"/>
          <w:lang w:eastAsia="en-US"/>
        </w:rPr>
        <w:t>.2</w:t>
      </w:r>
      <w:r w:rsidR="00E57624" w:rsidRPr="00BF0CBB">
        <w:rPr>
          <w:rFonts w:eastAsiaTheme="minorHAnsi" w:cs="Arial"/>
          <w:sz w:val="22"/>
          <w:szCs w:val="22"/>
          <w:lang w:eastAsia="en-US"/>
        </w:rPr>
        <w:t xml:space="preserve">.1, </w:t>
      </w:r>
      <w:r w:rsidR="00E84D9B" w:rsidRPr="00BF0CBB">
        <w:rPr>
          <w:rFonts w:eastAsiaTheme="minorHAnsi" w:cs="Arial"/>
          <w:sz w:val="22"/>
          <w:szCs w:val="22"/>
          <w:lang w:eastAsia="en-US"/>
        </w:rPr>
        <w:t>1</w:t>
      </w:r>
      <w:r w:rsidR="00411A98" w:rsidRPr="00BF0CBB">
        <w:rPr>
          <w:rFonts w:eastAsiaTheme="minorHAnsi" w:cs="Arial"/>
          <w:sz w:val="22"/>
          <w:szCs w:val="22"/>
          <w:lang w:eastAsia="en-US"/>
        </w:rPr>
        <w:t>8</w:t>
      </w:r>
      <w:r w:rsidR="00BA6694" w:rsidRPr="00BF0CBB">
        <w:rPr>
          <w:rFonts w:eastAsiaTheme="minorHAnsi" w:cs="Arial"/>
          <w:sz w:val="22"/>
          <w:szCs w:val="22"/>
          <w:lang w:eastAsia="en-US"/>
        </w:rPr>
        <w:t>.2</w:t>
      </w:r>
      <w:r w:rsidR="00E57624" w:rsidRPr="00BF0CBB">
        <w:rPr>
          <w:rFonts w:eastAsiaTheme="minorHAnsi" w:cs="Arial"/>
          <w:sz w:val="22"/>
          <w:szCs w:val="22"/>
          <w:lang w:eastAsia="en-US"/>
        </w:rPr>
        <w:t xml:space="preserve">.3, </w:t>
      </w:r>
      <w:r w:rsidR="00747AC8" w:rsidRPr="00BF0CBB">
        <w:rPr>
          <w:rFonts w:eastAsiaTheme="minorHAnsi" w:cs="Arial"/>
          <w:sz w:val="22"/>
          <w:szCs w:val="22"/>
          <w:lang w:eastAsia="en-US"/>
        </w:rPr>
        <w:t>1</w:t>
      </w:r>
      <w:r w:rsidR="00411A98" w:rsidRPr="00BF0CBB">
        <w:rPr>
          <w:rFonts w:eastAsiaTheme="minorHAnsi" w:cs="Arial"/>
          <w:sz w:val="22"/>
          <w:szCs w:val="22"/>
          <w:lang w:eastAsia="en-US"/>
        </w:rPr>
        <w:t>8</w:t>
      </w:r>
      <w:r w:rsidR="00E57624" w:rsidRPr="00BF0CBB">
        <w:rPr>
          <w:rFonts w:eastAsiaTheme="minorHAnsi" w:cs="Arial"/>
          <w:sz w:val="22"/>
          <w:szCs w:val="22"/>
          <w:lang w:eastAsia="en-US"/>
        </w:rPr>
        <w:t>.</w:t>
      </w:r>
      <w:r w:rsidR="00BA6694" w:rsidRPr="00BF0CBB">
        <w:rPr>
          <w:rFonts w:eastAsiaTheme="minorHAnsi" w:cs="Arial"/>
          <w:sz w:val="22"/>
          <w:szCs w:val="22"/>
          <w:lang w:eastAsia="en-US"/>
        </w:rPr>
        <w:t>2</w:t>
      </w:r>
      <w:r w:rsidR="00E57624" w:rsidRPr="00BF0CBB">
        <w:rPr>
          <w:rFonts w:eastAsiaTheme="minorHAnsi" w:cs="Arial"/>
          <w:sz w:val="22"/>
          <w:szCs w:val="22"/>
          <w:lang w:eastAsia="en-US"/>
        </w:rPr>
        <w:t xml:space="preserve">.4 e </w:t>
      </w:r>
      <w:r w:rsidR="00E84D9B" w:rsidRPr="00BF0CBB">
        <w:rPr>
          <w:rFonts w:eastAsiaTheme="minorHAnsi" w:cs="Arial"/>
          <w:sz w:val="22"/>
          <w:szCs w:val="22"/>
          <w:lang w:eastAsia="en-US"/>
        </w:rPr>
        <w:t>1</w:t>
      </w:r>
      <w:r w:rsidR="00411A98" w:rsidRPr="00BF0CBB">
        <w:rPr>
          <w:rFonts w:eastAsiaTheme="minorHAnsi" w:cs="Arial"/>
          <w:sz w:val="22"/>
          <w:szCs w:val="22"/>
          <w:lang w:eastAsia="en-US"/>
        </w:rPr>
        <w:t>8</w:t>
      </w:r>
      <w:r w:rsidR="00E57624" w:rsidRPr="00BF0CBB">
        <w:rPr>
          <w:rFonts w:eastAsiaTheme="minorHAnsi" w:cs="Arial"/>
          <w:sz w:val="22"/>
          <w:szCs w:val="22"/>
          <w:lang w:eastAsia="en-US"/>
        </w:rPr>
        <w:t>.</w:t>
      </w:r>
      <w:r w:rsidR="00BA6694" w:rsidRPr="00BF0CBB">
        <w:rPr>
          <w:rFonts w:eastAsiaTheme="minorHAnsi" w:cs="Arial"/>
          <w:sz w:val="22"/>
          <w:szCs w:val="22"/>
          <w:lang w:eastAsia="en-US"/>
        </w:rPr>
        <w:t>2</w:t>
      </w:r>
      <w:r w:rsidR="00E57624" w:rsidRPr="00BF0CBB">
        <w:rPr>
          <w:rFonts w:eastAsiaTheme="minorHAnsi" w:cs="Arial"/>
          <w:sz w:val="22"/>
          <w:szCs w:val="22"/>
          <w:lang w:eastAsia="en-US"/>
        </w:rPr>
        <w:t>.5 poder</w:t>
      </w:r>
      <w:r w:rsidRPr="00BF0CBB">
        <w:rPr>
          <w:rFonts w:eastAsiaTheme="minorHAnsi" w:cs="Arial"/>
          <w:sz w:val="22"/>
          <w:szCs w:val="22"/>
          <w:lang w:eastAsia="en-US"/>
        </w:rPr>
        <w:t>ão ser aplicadas à CONTRATADA juntamente com as de multa, descontando-a dos pagamentos a serem efetuados.</w:t>
      </w:r>
    </w:p>
    <w:p w14:paraId="1FBAAE06" w14:textId="54056562" w:rsidR="00B222EE" w:rsidRPr="00BF0CBB"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Para efeito de aplicação de multas, às infrações são atribuídos graus, de acordo com as tabelas 1 e 2:</w:t>
      </w:r>
    </w:p>
    <w:p w14:paraId="57B2E71B" w14:textId="77777777" w:rsidR="00B222EE" w:rsidRPr="00BF0CBB" w:rsidRDefault="00B222EE" w:rsidP="00B222EE">
      <w:pPr>
        <w:spacing w:before="120" w:after="120" w:line="276" w:lineRule="auto"/>
        <w:ind w:right="-30"/>
        <w:jc w:val="center"/>
        <w:rPr>
          <w:rFonts w:cs="Arial"/>
          <w:b/>
          <w:bCs/>
          <w:szCs w:val="20"/>
        </w:rPr>
      </w:pPr>
      <w:r w:rsidRPr="00BF0CBB">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BF0CBB"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CORRESPONDÊNCIA</w:t>
            </w:r>
          </w:p>
        </w:tc>
      </w:tr>
      <w:tr w:rsidR="00B222EE" w:rsidRPr="00BF0CBB"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0,2% ao dia sobre o valor mensal do contrato</w:t>
            </w:r>
          </w:p>
        </w:tc>
      </w:tr>
      <w:tr w:rsidR="00B222EE" w:rsidRPr="00BF0CBB"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0,4% ao dia sobre o valor mensal do contrato</w:t>
            </w:r>
          </w:p>
        </w:tc>
      </w:tr>
      <w:tr w:rsidR="00B222EE" w:rsidRPr="00BF0CBB"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0,8% ao dia sobre o valor mensal do contrato</w:t>
            </w:r>
          </w:p>
        </w:tc>
      </w:tr>
      <w:tr w:rsidR="00B222EE" w:rsidRPr="00BF0CBB"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1,6% ao dia sobre o valor mensal do contrato</w:t>
            </w:r>
          </w:p>
        </w:tc>
      </w:tr>
      <w:tr w:rsidR="00B222EE" w:rsidRPr="00BF0CBB"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3,2% ao dia sobre o valor mensal do contrato</w:t>
            </w:r>
          </w:p>
        </w:tc>
      </w:tr>
    </w:tbl>
    <w:p w14:paraId="4B5F16D0" w14:textId="77777777" w:rsidR="009E3B74" w:rsidRPr="00BF0CBB" w:rsidRDefault="009E3B74" w:rsidP="00B222EE">
      <w:pPr>
        <w:spacing w:before="120" w:after="120" w:line="276" w:lineRule="auto"/>
        <w:ind w:right="-30"/>
        <w:jc w:val="center"/>
        <w:rPr>
          <w:rFonts w:cs="Arial"/>
          <w:b/>
          <w:bCs/>
          <w:szCs w:val="20"/>
        </w:rPr>
      </w:pPr>
    </w:p>
    <w:p w14:paraId="50E613C0" w14:textId="77777777" w:rsidR="009E3B74" w:rsidRPr="00BF0CBB" w:rsidRDefault="009E3B74" w:rsidP="00B222EE">
      <w:pPr>
        <w:spacing w:before="120" w:after="120" w:line="276" w:lineRule="auto"/>
        <w:ind w:right="-30"/>
        <w:jc w:val="center"/>
        <w:rPr>
          <w:rFonts w:cs="Arial"/>
          <w:b/>
          <w:bCs/>
          <w:szCs w:val="20"/>
        </w:rPr>
      </w:pPr>
    </w:p>
    <w:p w14:paraId="7BF1D307" w14:textId="19FB1876" w:rsidR="00B222EE" w:rsidRPr="00BF0CBB" w:rsidRDefault="00B222EE" w:rsidP="00B222EE">
      <w:pPr>
        <w:spacing w:before="120" w:after="120" w:line="276" w:lineRule="auto"/>
        <w:ind w:right="-30"/>
        <w:jc w:val="center"/>
        <w:rPr>
          <w:rFonts w:cs="Arial"/>
          <w:szCs w:val="20"/>
        </w:rPr>
      </w:pPr>
      <w:r w:rsidRPr="00BF0CBB">
        <w:rPr>
          <w:rFonts w:cs="Arial"/>
          <w:b/>
          <w:bCs/>
          <w:szCs w:val="20"/>
        </w:rPr>
        <w:lastRenderedPageBreak/>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BF0CBB"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INFRAÇÃO</w:t>
            </w:r>
          </w:p>
        </w:tc>
      </w:tr>
      <w:tr w:rsidR="00B222EE" w:rsidRPr="00BF0CBB"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BF0CBB" w:rsidRDefault="00B222EE" w:rsidP="008B0C2F">
            <w:pPr>
              <w:spacing w:before="120" w:after="120" w:line="276" w:lineRule="auto"/>
              <w:ind w:right="-30"/>
              <w:jc w:val="center"/>
              <w:rPr>
                <w:rFonts w:cs="Arial"/>
                <w:szCs w:val="20"/>
              </w:rPr>
            </w:pPr>
            <w:r w:rsidRPr="00BF0CBB">
              <w:rPr>
                <w:rFonts w:cs="Arial"/>
                <w:b/>
                <w:bCs/>
                <w:szCs w:val="20"/>
              </w:rPr>
              <w:t>GRAU</w:t>
            </w:r>
          </w:p>
        </w:tc>
      </w:tr>
      <w:tr w:rsidR="00B222EE" w:rsidRPr="00BF0CBB"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05</w:t>
            </w:r>
          </w:p>
        </w:tc>
      </w:tr>
      <w:tr w:rsidR="00B222EE" w:rsidRPr="00BF0CBB"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451C15DE" w:rsidR="00B222EE" w:rsidRPr="00BF0CBB" w:rsidRDefault="00B222EE" w:rsidP="00BF0CBB">
            <w:pPr>
              <w:spacing w:before="120" w:after="120" w:line="276" w:lineRule="auto"/>
              <w:ind w:right="-30"/>
              <w:jc w:val="center"/>
              <w:rPr>
                <w:rFonts w:cs="Arial"/>
                <w:szCs w:val="20"/>
              </w:rPr>
            </w:pPr>
            <w:r w:rsidRPr="00BF0CBB">
              <w:rPr>
                <w:rFonts w:cs="Arial"/>
                <w:szCs w:val="20"/>
              </w:rPr>
              <w:t>Suspender ou interromper, salvo motivo de força maior ou caso fortuito, os serviços contratuais por dia;</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04</w:t>
            </w:r>
          </w:p>
        </w:tc>
      </w:tr>
      <w:tr w:rsidR="00B222EE" w:rsidRPr="00BF0CBB"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03</w:t>
            </w:r>
          </w:p>
        </w:tc>
      </w:tr>
      <w:tr w:rsidR="00B222EE" w:rsidRPr="00BF0CBB"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02</w:t>
            </w:r>
          </w:p>
        </w:tc>
      </w:tr>
      <w:tr w:rsidR="00B222EE" w:rsidRPr="00BF0CBB"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21BC7AB" w:rsidR="00B222EE" w:rsidRPr="00BF0CBB" w:rsidRDefault="00747AC8" w:rsidP="008B0C2F">
            <w:pPr>
              <w:spacing w:before="120" w:after="120" w:line="276" w:lineRule="auto"/>
              <w:ind w:right="-30"/>
              <w:jc w:val="center"/>
              <w:rPr>
                <w:rFonts w:cs="Arial"/>
                <w:szCs w:val="20"/>
              </w:rPr>
            </w:pPr>
            <w:r w:rsidRPr="00BF0CBB">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B431506" w14:textId="669A5AEC" w:rsidR="00B222EE" w:rsidRPr="00BF0CBB" w:rsidRDefault="004E1118" w:rsidP="004E1118">
            <w:pPr>
              <w:spacing w:before="120" w:after="120" w:line="276" w:lineRule="auto"/>
              <w:ind w:right="-30"/>
              <w:jc w:val="center"/>
              <w:rPr>
                <w:rFonts w:cs="Arial"/>
                <w:szCs w:val="20"/>
              </w:rPr>
            </w:pPr>
            <w:r w:rsidRPr="00BF0CBB">
              <w:rPr>
                <w:rFonts w:cs="Arial"/>
                <w:szCs w:val="20"/>
              </w:rPr>
              <w:t>Deixar de c</w:t>
            </w:r>
            <w:r w:rsidR="00B222EE" w:rsidRPr="00BF0CBB">
              <w:rPr>
                <w:rFonts w:cs="Arial"/>
                <w:szCs w:val="20"/>
              </w:rPr>
              <w:t>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02</w:t>
            </w:r>
          </w:p>
        </w:tc>
      </w:tr>
      <w:tr w:rsidR="00B222EE" w:rsidRPr="00BF0CBB"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45D269F4" w:rsidR="00B222EE" w:rsidRPr="00BF0CBB" w:rsidRDefault="00747AC8" w:rsidP="008B0C2F">
            <w:pPr>
              <w:spacing w:before="120" w:after="120" w:line="276" w:lineRule="auto"/>
              <w:ind w:right="-30"/>
              <w:jc w:val="center"/>
              <w:rPr>
                <w:rFonts w:cs="Arial"/>
                <w:szCs w:val="20"/>
              </w:rPr>
            </w:pPr>
            <w:r w:rsidRPr="00BF0CBB">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5B794B2B" w14:textId="6625D672" w:rsidR="00B222EE" w:rsidRPr="00BF0CBB" w:rsidRDefault="004E1118" w:rsidP="008B0C2F">
            <w:pPr>
              <w:spacing w:before="120" w:after="120" w:line="276" w:lineRule="auto"/>
              <w:ind w:right="-30"/>
              <w:jc w:val="center"/>
              <w:rPr>
                <w:rFonts w:cs="Arial"/>
                <w:szCs w:val="20"/>
              </w:rPr>
            </w:pPr>
            <w:r w:rsidRPr="00BF0CBB">
              <w:rPr>
                <w:rFonts w:cs="Arial"/>
                <w:szCs w:val="20"/>
              </w:rPr>
              <w:t>Deixar de s</w:t>
            </w:r>
            <w:r w:rsidR="00B222EE" w:rsidRPr="00BF0CBB">
              <w:rPr>
                <w:rFonts w:cs="Arial"/>
                <w:szCs w:val="20"/>
              </w:rPr>
              <w:t>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01</w:t>
            </w:r>
          </w:p>
        </w:tc>
      </w:tr>
      <w:tr w:rsidR="00B222EE" w:rsidRPr="00BF0CBB"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50BF27EB" w:rsidR="00B222EE" w:rsidRPr="00BF0CBB" w:rsidRDefault="00747AC8" w:rsidP="008B0C2F">
            <w:pPr>
              <w:spacing w:before="120" w:after="120" w:line="276" w:lineRule="auto"/>
              <w:ind w:right="-30"/>
              <w:jc w:val="center"/>
              <w:rPr>
                <w:rFonts w:cs="Arial"/>
                <w:szCs w:val="20"/>
              </w:rPr>
            </w:pPr>
            <w:r w:rsidRPr="00BF0CBB">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1C38CC04" w14:textId="375E0CAF" w:rsidR="00B222EE" w:rsidRPr="00BF0CBB" w:rsidRDefault="004E1118" w:rsidP="00747AC8">
            <w:pPr>
              <w:spacing w:before="120" w:after="120" w:line="276" w:lineRule="auto"/>
              <w:ind w:right="-30"/>
              <w:jc w:val="center"/>
              <w:rPr>
                <w:rFonts w:cs="Arial"/>
                <w:szCs w:val="20"/>
              </w:rPr>
            </w:pPr>
            <w:r w:rsidRPr="00BF0CBB">
              <w:rPr>
                <w:rFonts w:cs="Arial"/>
                <w:szCs w:val="20"/>
              </w:rPr>
              <w:t>Deixar de c</w:t>
            </w:r>
            <w:r w:rsidR="00B222EE" w:rsidRPr="00BF0CBB">
              <w:rPr>
                <w:rFonts w:cs="Arial"/>
                <w:szCs w:val="20"/>
              </w:rPr>
              <w:t xml:space="preserve">umprir quaisquer dos itens do </w:t>
            </w:r>
            <w:r w:rsidR="00747AC8" w:rsidRPr="00BF0CBB">
              <w:rPr>
                <w:rFonts w:cs="Arial"/>
                <w:szCs w:val="20"/>
              </w:rPr>
              <w:t>Termo de Referência</w:t>
            </w:r>
            <w:r w:rsidR="00B222EE" w:rsidRPr="00BF0CBB">
              <w:rPr>
                <w:rFonts w:cs="Arial"/>
                <w:szCs w:val="20"/>
              </w:rPr>
              <w:t xml:space="preserve">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BF0CBB" w:rsidRDefault="00B222EE" w:rsidP="008B0C2F">
            <w:pPr>
              <w:spacing w:before="120" w:after="120" w:line="276" w:lineRule="auto"/>
              <w:ind w:right="-30"/>
              <w:jc w:val="center"/>
              <w:rPr>
                <w:rFonts w:cs="Arial"/>
                <w:szCs w:val="20"/>
              </w:rPr>
            </w:pPr>
            <w:r w:rsidRPr="00BF0CBB">
              <w:rPr>
                <w:rFonts w:cs="Arial"/>
                <w:szCs w:val="20"/>
              </w:rPr>
              <w:t>03</w:t>
            </w:r>
          </w:p>
        </w:tc>
      </w:tr>
    </w:tbl>
    <w:p w14:paraId="3A05AFED" w14:textId="0A6A2A35" w:rsidR="007F4C27" w:rsidRPr="00BF0CBB" w:rsidRDefault="007F4C27"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Também ficam sujeitas às penalidades do art. 87, III e IV da Lei nº 8.666, de 1993, as empresas ou profissionais que:</w:t>
      </w:r>
    </w:p>
    <w:p w14:paraId="073AD897" w14:textId="6F02917E" w:rsidR="007F4C27" w:rsidRPr="00BF0CBB"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T</w:t>
      </w:r>
      <w:r w:rsidR="007F4C27" w:rsidRPr="00BF0CBB">
        <w:rPr>
          <w:rFonts w:eastAsiaTheme="minorHAnsi" w:cs="Arial"/>
          <w:sz w:val="22"/>
          <w:szCs w:val="22"/>
          <w:lang w:eastAsia="en-US"/>
        </w:rPr>
        <w:t>enham sofrido condenação definitiva por praticar, por meio dolosos, fraude fiscal no recolhimento de quaisquer tributos;</w:t>
      </w:r>
    </w:p>
    <w:p w14:paraId="7793C2E3" w14:textId="6C6673C6" w:rsidR="007F4C27" w:rsidRPr="00BF0CBB"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T</w:t>
      </w:r>
      <w:r w:rsidR="007F4C27" w:rsidRPr="00BF0CBB">
        <w:rPr>
          <w:rFonts w:eastAsiaTheme="minorHAnsi" w:cs="Arial"/>
          <w:sz w:val="22"/>
          <w:szCs w:val="22"/>
          <w:lang w:eastAsia="en-US"/>
        </w:rPr>
        <w:t>enham praticado atos ilícitos visando a frustrar os objetivos da licitação;</w:t>
      </w:r>
    </w:p>
    <w:p w14:paraId="7AA87AD8" w14:textId="5A385F45" w:rsidR="007F4C27" w:rsidRPr="00BF0CBB"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D</w:t>
      </w:r>
      <w:r w:rsidR="007F4C27" w:rsidRPr="00BF0CBB">
        <w:rPr>
          <w:rFonts w:eastAsiaTheme="minorHAnsi" w:cs="Arial"/>
          <w:sz w:val="22"/>
          <w:szCs w:val="22"/>
          <w:lang w:eastAsia="en-US"/>
        </w:rPr>
        <w:t xml:space="preserve">emonstrem não possuir idoneidade para contratar com a Administração em virtude de atos ilícitos praticados. </w:t>
      </w:r>
    </w:p>
    <w:p w14:paraId="122B9CDA" w14:textId="77777777" w:rsidR="007F4C27" w:rsidRPr="00BF0CBB" w:rsidRDefault="007F4C27"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96A63CD" w14:textId="77777777"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1838CB0" w14:textId="28F1E953" w:rsidR="00D7051D" w:rsidRPr="00BF0CBB" w:rsidRDefault="00D7051D"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 xml:space="preserve">Caso a Contratante determine, a multa deverá ser recolhida no prazo máximo de </w:t>
      </w:r>
      <w:r w:rsidR="00411A98" w:rsidRPr="00BF0CBB">
        <w:rPr>
          <w:rFonts w:eastAsiaTheme="minorHAnsi" w:cs="Arial"/>
          <w:sz w:val="22"/>
          <w:szCs w:val="22"/>
          <w:lang w:eastAsia="en-US"/>
        </w:rPr>
        <w:t>30</w:t>
      </w:r>
      <w:r w:rsidRPr="00BF0CBB">
        <w:rPr>
          <w:rFonts w:eastAsiaTheme="minorHAnsi" w:cs="Arial"/>
          <w:sz w:val="22"/>
          <w:szCs w:val="22"/>
          <w:lang w:eastAsia="en-US"/>
        </w:rPr>
        <w:t xml:space="preserve"> (</w:t>
      </w:r>
      <w:r w:rsidR="00411A98" w:rsidRPr="00BF0CBB">
        <w:rPr>
          <w:rFonts w:eastAsiaTheme="minorHAnsi" w:cs="Arial"/>
          <w:sz w:val="22"/>
          <w:szCs w:val="22"/>
          <w:lang w:eastAsia="en-US"/>
        </w:rPr>
        <w:t>trinta</w:t>
      </w:r>
      <w:r w:rsidRPr="00BF0CBB">
        <w:rPr>
          <w:rFonts w:eastAsiaTheme="minorHAnsi" w:cs="Arial"/>
          <w:sz w:val="22"/>
          <w:szCs w:val="22"/>
          <w:lang w:eastAsia="en-US"/>
        </w:rPr>
        <w:t>) dias, a contar da data do recebimento da comunicação enviada pela autoridade competente.</w:t>
      </w:r>
    </w:p>
    <w:p w14:paraId="19003165" w14:textId="77777777" w:rsidR="00F639E1" w:rsidRPr="00BF0CBB" w:rsidRDefault="00F639E1"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lastRenderedPageBreak/>
        <w:t>Caso o valor da multa não seja suficiente para cobrir os prejuízos causados pela conduta do licitante, a União ou Entidade poderá cobrar o valor remanescente judicialmente, conforme artigo 419 do Código Civil.</w:t>
      </w:r>
    </w:p>
    <w:p w14:paraId="7EB8EDE9" w14:textId="77777777"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autoridade competente, na aplicação das sanções, levará em consideração a gravidade da conduta do infrator, o caráter educativo da pena, bem como o dano causado à Administração, observado o princípio da proporcionalidade.</w:t>
      </w:r>
    </w:p>
    <w:p w14:paraId="178C09C5" w14:textId="3A7C80BD"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Se, durante o process</w:t>
      </w:r>
      <w:r w:rsidR="00411A98" w:rsidRPr="00BF0CBB">
        <w:rPr>
          <w:rFonts w:eastAsiaTheme="minorHAnsi" w:cs="Arial"/>
          <w:sz w:val="22"/>
          <w:szCs w:val="22"/>
          <w:lang w:eastAsia="en-US"/>
        </w:rPr>
        <w:t>o de aplicação de penalidade,</w:t>
      </w:r>
      <w:r w:rsidRPr="00BF0CBB">
        <w:rPr>
          <w:rFonts w:eastAsiaTheme="minorHAnsi" w:cs="Arial"/>
          <w:sz w:val="22"/>
          <w:szCs w:val="22"/>
          <w:lang w:eastAsia="en-US"/>
        </w:rPr>
        <w:t xml:space="preserv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25F836F" w14:textId="77777777"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42345B" w14:textId="77777777" w:rsidR="00D7051D" w:rsidRPr="00BF0CBB"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62CD915B" w:rsidR="00DB206B" w:rsidRPr="00BF0CBB" w:rsidRDefault="00B222EE"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As penalidades serão obrigatoriamente registradas no </w:t>
      </w:r>
      <w:r w:rsidR="003C58CC" w:rsidRPr="00BF0CBB">
        <w:rPr>
          <w:rFonts w:eastAsiaTheme="minorHAnsi" w:cs="Arial"/>
          <w:sz w:val="22"/>
          <w:szCs w:val="22"/>
          <w:lang w:eastAsia="en-US"/>
        </w:rPr>
        <w:t>SICAF</w:t>
      </w:r>
      <w:r w:rsidRPr="00BF0CBB">
        <w:rPr>
          <w:rFonts w:eastAsiaTheme="minorHAnsi" w:cs="Arial"/>
          <w:sz w:val="22"/>
          <w:szCs w:val="22"/>
          <w:lang w:eastAsia="en-US"/>
        </w:rPr>
        <w:t>.</w:t>
      </w:r>
    </w:p>
    <w:p w14:paraId="2FE86A47" w14:textId="4F3BB31F" w:rsidR="009439A2" w:rsidRPr="00BF0CBB" w:rsidRDefault="009439A2" w:rsidP="000E1C93">
      <w:pPr>
        <w:pStyle w:val="Nivel1"/>
        <w:rPr>
          <w:rFonts w:cs="Arial"/>
          <w:color w:val="auto"/>
          <w:sz w:val="22"/>
          <w:szCs w:val="22"/>
        </w:rPr>
      </w:pPr>
      <w:r w:rsidRPr="00BF0CBB">
        <w:rPr>
          <w:rFonts w:cs="Arial"/>
          <w:color w:val="auto"/>
          <w:sz w:val="22"/>
          <w:szCs w:val="22"/>
        </w:rPr>
        <w:t>CRITÉRIOS DE SELEÇÃO DO FORNECEDOR.</w:t>
      </w:r>
    </w:p>
    <w:p w14:paraId="2EE96D9B" w14:textId="70BB577F" w:rsidR="009439A2" w:rsidRPr="00BF0CBB"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As exigências de habilitação jurídica e de regularidade fiscal e trabalhista são as usuais para a generalidade dos objetos, con</w:t>
      </w:r>
      <w:r w:rsidR="000E1C93" w:rsidRPr="00BF0CBB">
        <w:rPr>
          <w:rFonts w:eastAsiaTheme="minorHAnsi" w:cs="Arial"/>
          <w:sz w:val="22"/>
          <w:szCs w:val="22"/>
          <w:lang w:eastAsia="en-US"/>
        </w:rPr>
        <w:t>forme disciplinado na legislação vigente</w:t>
      </w:r>
      <w:r w:rsidRPr="00BF0CBB">
        <w:rPr>
          <w:rFonts w:eastAsiaTheme="minorHAnsi" w:cs="Arial"/>
          <w:sz w:val="22"/>
          <w:szCs w:val="22"/>
          <w:lang w:eastAsia="en-US"/>
        </w:rPr>
        <w:t>.</w:t>
      </w:r>
    </w:p>
    <w:p w14:paraId="4C1E90AD" w14:textId="6AC13933" w:rsidR="009439A2" w:rsidRPr="00BF0CBB"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 xml:space="preserve">Os critérios de qualificação econômica a serem atendidos pelo fornecedor estão previstos </w:t>
      </w:r>
      <w:r w:rsidR="000E1C93" w:rsidRPr="00BF0CBB">
        <w:rPr>
          <w:rFonts w:eastAsiaTheme="minorHAnsi" w:cs="Arial"/>
          <w:sz w:val="22"/>
          <w:szCs w:val="22"/>
          <w:lang w:eastAsia="en-US"/>
        </w:rPr>
        <w:t>na legislação vigente</w:t>
      </w:r>
      <w:r w:rsidRPr="00BF0CBB">
        <w:rPr>
          <w:rFonts w:eastAsiaTheme="minorHAnsi" w:cs="Arial"/>
          <w:sz w:val="22"/>
          <w:szCs w:val="22"/>
          <w:lang w:eastAsia="en-US"/>
        </w:rPr>
        <w:t>.</w:t>
      </w:r>
    </w:p>
    <w:p w14:paraId="5478F57D" w14:textId="77777777" w:rsidR="006C05F6" w:rsidRPr="00BF0CBB" w:rsidRDefault="006C05F6"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Os critérios de aceitabilidade de preços serão:</w:t>
      </w:r>
    </w:p>
    <w:p w14:paraId="1CC7A3A7" w14:textId="02E1787A" w:rsidR="004C0D14" w:rsidRPr="00BF0CBB" w:rsidRDefault="000E1C93" w:rsidP="000E1C93">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BF0CBB">
        <w:rPr>
          <w:rFonts w:eastAsiaTheme="minorHAnsi" w:cs="Arial"/>
          <w:sz w:val="22"/>
          <w:szCs w:val="22"/>
          <w:lang w:eastAsia="en-US"/>
        </w:rPr>
        <w:t>Valor Global: R$</w:t>
      </w:r>
      <w:r w:rsidR="00BF0CBB" w:rsidRPr="00BF0CBB">
        <w:rPr>
          <w:rFonts w:eastAsiaTheme="minorHAnsi" w:cs="Arial"/>
          <w:sz w:val="22"/>
          <w:szCs w:val="22"/>
          <w:lang w:eastAsia="en-US"/>
        </w:rPr>
        <w:t>5</w:t>
      </w:r>
      <w:r w:rsidRPr="00BF0CBB">
        <w:rPr>
          <w:rFonts w:eastAsiaTheme="minorHAnsi" w:cs="Arial"/>
          <w:sz w:val="22"/>
          <w:szCs w:val="22"/>
          <w:lang w:eastAsia="en-US"/>
        </w:rPr>
        <w:t>.6</w:t>
      </w:r>
      <w:r w:rsidR="00BF0CBB" w:rsidRPr="00BF0CBB">
        <w:rPr>
          <w:rFonts w:eastAsiaTheme="minorHAnsi" w:cs="Arial"/>
          <w:sz w:val="22"/>
          <w:szCs w:val="22"/>
          <w:lang w:eastAsia="en-US"/>
        </w:rPr>
        <w:t>2</w:t>
      </w:r>
      <w:r w:rsidRPr="00BF0CBB">
        <w:rPr>
          <w:rFonts w:eastAsiaTheme="minorHAnsi" w:cs="Arial"/>
          <w:sz w:val="22"/>
          <w:szCs w:val="22"/>
          <w:lang w:eastAsia="en-US"/>
        </w:rPr>
        <w:t>0,000 (</w:t>
      </w:r>
      <w:r w:rsidR="00BF0CBB" w:rsidRPr="00BF0CBB">
        <w:rPr>
          <w:rFonts w:eastAsiaTheme="minorHAnsi" w:cs="Arial"/>
          <w:sz w:val="22"/>
          <w:szCs w:val="22"/>
          <w:lang w:eastAsia="en-US"/>
        </w:rPr>
        <w:t>cinco</w:t>
      </w:r>
      <w:r w:rsidRPr="00BF0CBB">
        <w:rPr>
          <w:rFonts w:eastAsiaTheme="minorHAnsi" w:cs="Arial"/>
          <w:sz w:val="22"/>
          <w:szCs w:val="22"/>
          <w:lang w:eastAsia="en-US"/>
        </w:rPr>
        <w:t xml:space="preserve"> mil</w:t>
      </w:r>
      <w:r w:rsidR="00BF0CBB" w:rsidRPr="00BF0CBB">
        <w:rPr>
          <w:rFonts w:eastAsiaTheme="minorHAnsi" w:cs="Arial"/>
          <w:sz w:val="22"/>
          <w:szCs w:val="22"/>
          <w:lang w:eastAsia="en-US"/>
        </w:rPr>
        <w:t>,</w:t>
      </w:r>
      <w:r w:rsidRPr="00BF0CBB">
        <w:rPr>
          <w:rFonts w:eastAsiaTheme="minorHAnsi" w:cs="Arial"/>
          <w:sz w:val="22"/>
          <w:szCs w:val="22"/>
          <w:lang w:eastAsia="en-US"/>
        </w:rPr>
        <w:t xml:space="preserve"> seiscentos</w:t>
      </w:r>
      <w:r w:rsidR="00BF0CBB" w:rsidRPr="00BF0CBB">
        <w:rPr>
          <w:rFonts w:eastAsiaTheme="minorHAnsi" w:cs="Arial"/>
          <w:sz w:val="22"/>
          <w:szCs w:val="22"/>
          <w:lang w:eastAsia="en-US"/>
        </w:rPr>
        <w:t xml:space="preserve"> e vinte</w:t>
      </w:r>
      <w:r w:rsidRPr="00BF0CBB">
        <w:rPr>
          <w:rFonts w:eastAsiaTheme="minorHAnsi" w:cs="Arial"/>
          <w:sz w:val="22"/>
          <w:szCs w:val="22"/>
          <w:lang w:eastAsia="en-US"/>
        </w:rPr>
        <w:t xml:space="preserve"> reais). </w:t>
      </w:r>
    </w:p>
    <w:p w14:paraId="4D9E6CBE" w14:textId="77777777" w:rsidR="009439A2" w:rsidRPr="00BF0CBB"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critério de julgamento da proposta é o menor preço global.</w:t>
      </w:r>
    </w:p>
    <w:p w14:paraId="1CE667AA" w14:textId="77777777" w:rsidR="009439A2" w:rsidRPr="00BF0CBB" w:rsidRDefault="009439A2" w:rsidP="001051B8">
      <w:pPr>
        <w:pStyle w:val="Nivel1"/>
        <w:rPr>
          <w:rFonts w:cs="Arial"/>
          <w:color w:val="auto"/>
          <w:sz w:val="22"/>
          <w:szCs w:val="22"/>
        </w:rPr>
      </w:pPr>
      <w:r w:rsidRPr="00BF0CBB">
        <w:rPr>
          <w:rFonts w:cs="Arial"/>
          <w:color w:val="auto"/>
          <w:sz w:val="22"/>
          <w:szCs w:val="22"/>
        </w:rPr>
        <w:t>ESTIMATIVA DE PREÇOS E PREÇOS REFERENCIAIS.</w:t>
      </w:r>
    </w:p>
    <w:p w14:paraId="38D7D65A"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4B470FF7"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003C4556"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233C961D"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66578DE8" w14:textId="77777777" w:rsidR="00381881" w:rsidRPr="00BF0CBB" w:rsidRDefault="00381881" w:rsidP="008005F5">
      <w:pPr>
        <w:pStyle w:val="PargrafodaLista"/>
        <w:numPr>
          <w:ilvl w:val="0"/>
          <w:numId w:val="6"/>
        </w:numPr>
        <w:spacing w:before="120" w:after="120" w:line="276" w:lineRule="auto"/>
        <w:ind w:right="-30"/>
        <w:contextualSpacing w:val="0"/>
        <w:jc w:val="both"/>
        <w:rPr>
          <w:i/>
          <w:vanish/>
        </w:rPr>
      </w:pPr>
    </w:p>
    <w:p w14:paraId="47EBEE6C" w14:textId="16D15410" w:rsidR="00381881" w:rsidRPr="00BF0CBB" w:rsidRDefault="00381881" w:rsidP="001051B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O custo estimado da contratação é de R$</w:t>
      </w:r>
      <w:r w:rsidR="001051B8" w:rsidRPr="00BF0CBB">
        <w:rPr>
          <w:rFonts w:eastAsiaTheme="minorHAnsi" w:cs="Arial"/>
          <w:sz w:val="22"/>
          <w:szCs w:val="22"/>
          <w:lang w:eastAsia="en-US"/>
        </w:rPr>
        <w:t xml:space="preserve"> </w:t>
      </w:r>
      <w:r w:rsidR="00BF0CBB" w:rsidRPr="00BF0CBB">
        <w:rPr>
          <w:rFonts w:eastAsiaTheme="minorHAnsi" w:cs="Arial"/>
          <w:sz w:val="22"/>
          <w:szCs w:val="22"/>
          <w:lang w:eastAsia="en-US"/>
        </w:rPr>
        <w:t>5.620,000 (cinco mil, seiscentos e vinte reais)</w:t>
      </w:r>
      <w:r w:rsidRPr="00BF0CBB">
        <w:rPr>
          <w:rFonts w:eastAsiaTheme="minorHAnsi" w:cs="Arial"/>
          <w:sz w:val="22"/>
          <w:szCs w:val="22"/>
          <w:lang w:eastAsia="en-US"/>
        </w:rPr>
        <w:t>.</w:t>
      </w:r>
    </w:p>
    <w:p w14:paraId="772259B8" w14:textId="70B327C7" w:rsidR="009439A2" w:rsidRPr="00BF0CBB" w:rsidRDefault="009439A2" w:rsidP="001051B8">
      <w:pPr>
        <w:pStyle w:val="Nivel1"/>
        <w:rPr>
          <w:rFonts w:cs="Arial"/>
          <w:color w:val="auto"/>
          <w:sz w:val="22"/>
          <w:szCs w:val="22"/>
        </w:rPr>
      </w:pPr>
      <w:r w:rsidRPr="00BF0CBB">
        <w:rPr>
          <w:rFonts w:cs="Arial"/>
          <w:color w:val="auto"/>
          <w:sz w:val="22"/>
          <w:szCs w:val="22"/>
        </w:rPr>
        <w:t>DOS RECURSOS ORÇAMENTÁRIOS.</w:t>
      </w:r>
    </w:p>
    <w:p w14:paraId="44308121" w14:textId="77777777" w:rsidR="001051B8" w:rsidRPr="00BF0CBB" w:rsidRDefault="001051B8" w:rsidP="001051B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F0CBB">
        <w:rPr>
          <w:rFonts w:eastAsiaTheme="minorHAnsi" w:cs="Arial"/>
          <w:sz w:val="22"/>
          <w:szCs w:val="22"/>
          <w:lang w:eastAsia="en-US"/>
        </w:rPr>
        <w:t>A dotação orçamentária será informada posteriormente pela Gerência de Licitações e Contratos.</w:t>
      </w:r>
    </w:p>
    <w:p w14:paraId="50504736" w14:textId="77777777" w:rsidR="009E3B74" w:rsidRPr="00BF0CBB" w:rsidRDefault="009E3B74" w:rsidP="00677F21">
      <w:pPr>
        <w:spacing w:after="360"/>
        <w:ind w:left="360"/>
        <w:rPr>
          <w:rFonts w:cs="Arial"/>
          <w:szCs w:val="20"/>
        </w:rPr>
      </w:pPr>
    </w:p>
    <w:p w14:paraId="61915FCE" w14:textId="59B86648" w:rsidR="009E3B74" w:rsidRPr="00BF0CBB" w:rsidRDefault="000F7DB8" w:rsidP="00677F21">
      <w:pPr>
        <w:spacing w:after="360"/>
        <w:ind w:left="360"/>
        <w:rPr>
          <w:rFonts w:cs="Arial"/>
          <w:szCs w:val="20"/>
        </w:rPr>
      </w:pPr>
      <w:r w:rsidRPr="00BF0CBB">
        <w:rPr>
          <w:rFonts w:cs="Arial"/>
          <w:szCs w:val="20"/>
        </w:rPr>
        <w:t>Fortaleza</w:t>
      </w:r>
      <w:r w:rsidR="00677F21" w:rsidRPr="00BF0CBB">
        <w:rPr>
          <w:rFonts w:cs="Arial"/>
          <w:szCs w:val="20"/>
        </w:rPr>
        <w:t xml:space="preserve">, </w:t>
      </w:r>
      <w:r w:rsidR="00BF0CBB" w:rsidRPr="00BF0CBB">
        <w:rPr>
          <w:rFonts w:cs="Arial"/>
          <w:szCs w:val="20"/>
        </w:rPr>
        <w:t>1</w:t>
      </w:r>
      <w:r w:rsidR="005878FA">
        <w:rPr>
          <w:rFonts w:cs="Arial"/>
          <w:szCs w:val="20"/>
        </w:rPr>
        <w:t>1</w:t>
      </w:r>
      <w:bookmarkStart w:id="2" w:name="_GoBack"/>
      <w:bookmarkEnd w:id="2"/>
      <w:r w:rsidR="00677F21" w:rsidRPr="00BF0CBB">
        <w:rPr>
          <w:rFonts w:cs="Arial"/>
          <w:szCs w:val="20"/>
        </w:rPr>
        <w:t xml:space="preserve"> de </w:t>
      </w:r>
      <w:r w:rsidR="00BF0CBB" w:rsidRPr="00BF0CBB">
        <w:rPr>
          <w:rFonts w:cs="Arial"/>
          <w:szCs w:val="20"/>
        </w:rPr>
        <w:t>novemb</w:t>
      </w:r>
      <w:r w:rsidR="001051B8" w:rsidRPr="00BF0CBB">
        <w:rPr>
          <w:rFonts w:cs="Arial"/>
          <w:szCs w:val="20"/>
        </w:rPr>
        <w:t>ro</w:t>
      </w:r>
      <w:r w:rsidR="00677F21" w:rsidRPr="00BF0CBB">
        <w:rPr>
          <w:rFonts w:cs="Arial"/>
          <w:szCs w:val="20"/>
        </w:rPr>
        <w:t xml:space="preserve"> de </w:t>
      </w:r>
      <w:r w:rsidR="001051B8" w:rsidRPr="00BF0CBB">
        <w:rPr>
          <w:rFonts w:cs="Arial"/>
          <w:szCs w:val="20"/>
        </w:rPr>
        <w:t>2020</w:t>
      </w:r>
      <w:r w:rsidR="00677F21" w:rsidRPr="00BF0CBB">
        <w:rPr>
          <w:rFonts w:cs="Arial"/>
          <w:szCs w:val="20"/>
        </w:rPr>
        <w:t xml:space="preserve"> </w:t>
      </w:r>
    </w:p>
    <w:p w14:paraId="014D2043" w14:textId="3A9297E1" w:rsidR="00677F21" w:rsidRPr="00BF0CBB" w:rsidRDefault="00BF0CBB" w:rsidP="009E3B74">
      <w:pPr>
        <w:spacing w:after="360"/>
        <w:ind w:left="360"/>
        <w:rPr>
          <w:rFonts w:cs="Arial"/>
          <w:b/>
          <w:bCs/>
          <w:szCs w:val="20"/>
        </w:rPr>
      </w:pPr>
      <w:r w:rsidRPr="00BF0CBB">
        <w:rPr>
          <w:rFonts w:cs="Arial"/>
          <w:szCs w:val="20"/>
        </w:rPr>
        <w:t>Levi Belem Teles</w:t>
      </w:r>
    </w:p>
    <w:sectPr w:rsidR="00677F21" w:rsidRPr="00BF0CBB" w:rsidSect="00DF3B36">
      <w:pgSz w:w="11906" w:h="16838"/>
      <w:pgMar w:top="993" w:right="99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3A3BD" w14:textId="77777777" w:rsidR="00F415E4" w:rsidRDefault="00F415E4">
      <w:r>
        <w:separator/>
      </w:r>
    </w:p>
  </w:endnote>
  <w:endnote w:type="continuationSeparator" w:id="0">
    <w:p w14:paraId="3AA6E47E" w14:textId="77777777" w:rsidR="00F415E4" w:rsidRDefault="00F415E4">
      <w:r>
        <w:continuationSeparator/>
      </w:r>
    </w:p>
  </w:endnote>
  <w:endnote w:type="continuationNotice" w:id="1">
    <w:p w14:paraId="0B17E838" w14:textId="77777777" w:rsidR="00F415E4" w:rsidRDefault="00F41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BDD85" w14:textId="77777777" w:rsidR="00F415E4" w:rsidRDefault="00F415E4">
      <w:r>
        <w:separator/>
      </w:r>
    </w:p>
  </w:footnote>
  <w:footnote w:type="continuationSeparator" w:id="0">
    <w:p w14:paraId="05D0D809" w14:textId="77777777" w:rsidR="00F415E4" w:rsidRDefault="00F415E4">
      <w:r>
        <w:continuationSeparator/>
      </w:r>
    </w:p>
  </w:footnote>
  <w:footnote w:type="continuationNotice" w:id="1">
    <w:p w14:paraId="6ED65589" w14:textId="77777777" w:rsidR="00F415E4" w:rsidRDefault="00F415E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1D5C100D"/>
    <w:multiLevelType w:val="multilevel"/>
    <w:tmpl w:val="CCD491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i w:val="0"/>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AD4C50"/>
    <w:multiLevelType w:val="multilevel"/>
    <w:tmpl w:val="AF2CA01C"/>
    <w:lvl w:ilvl="0">
      <w:numFmt w:val="bullet"/>
      <w:lvlText w:val=""/>
      <w:lvlJc w:val="left"/>
      <w:pPr>
        <w:ind w:left="2520" w:hanging="360"/>
      </w:pPr>
      <w:rPr>
        <w:rFonts w:ascii="Symbol" w:hAnsi="Symbol"/>
      </w:rPr>
    </w:lvl>
    <w:lvl w:ilvl="1">
      <w:numFmt w:val="bullet"/>
      <w:lvlText w:val="o"/>
      <w:lvlJc w:val="left"/>
      <w:pPr>
        <w:ind w:left="3240" w:hanging="360"/>
      </w:pPr>
      <w:rPr>
        <w:rFonts w:ascii="Courier New" w:hAnsi="Courier New" w:cs="Courier New"/>
      </w:rPr>
    </w:lvl>
    <w:lvl w:ilvl="2">
      <w:numFmt w:val="bullet"/>
      <w:lvlText w:val=""/>
      <w:lvlJc w:val="left"/>
      <w:pPr>
        <w:ind w:left="3960" w:hanging="360"/>
      </w:pPr>
      <w:rPr>
        <w:rFonts w:ascii="Wingdings" w:hAnsi="Wingdings"/>
      </w:rPr>
    </w:lvl>
    <w:lvl w:ilvl="3">
      <w:numFmt w:val="bullet"/>
      <w:lvlText w:val=""/>
      <w:lvlJc w:val="left"/>
      <w:pPr>
        <w:ind w:left="4680" w:hanging="360"/>
      </w:pPr>
      <w:rPr>
        <w:rFonts w:ascii="Symbol" w:hAnsi="Symbol"/>
      </w:rPr>
    </w:lvl>
    <w:lvl w:ilvl="4">
      <w:numFmt w:val="bullet"/>
      <w:lvlText w:val="o"/>
      <w:lvlJc w:val="left"/>
      <w:pPr>
        <w:ind w:left="5400" w:hanging="360"/>
      </w:pPr>
      <w:rPr>
        <w:rFonts w:ascii="Courier New" w:hAnsi="Courier New" w:cs="Courier New"/>
      </w:rPr>
    </w:lvl>
    <w:lvl w:ilvl="5">
      <w:numFmt w:val="bullet"/>
      <w:lvlText w:val=""/>
      <w:lvlJc w:val="left"/>
      <w:pPr>
        <w:ind w:left="6120" w:hanging="360"/>
      </w:pPr>
      <w:rPr>
        <w:rFonts w:ascii="Wingdings" w:hAnsi="Wingdings"/>
      </w:rPr>
    </w:lvl>
    <w:lvl w:ilvl="6">
      <w:numFmt w:val="bullet"/>
      <w:lvlText w:val=""/>
      <w:lvlJc w:val="left"/>
      <w:pPr>
        <w:ind w:left="6840" w:hanging="360"/>
      </w:pPr>
      <w:rPr>
        <w:rFonts w:ascii="Symbol" w:hAnsi="Symbol"/>
      </w:rPr>
    </w:lvl>
    <w:lvl w:ilvl="7">
      <w:numFmt w:val="bullet"/>
      <w:lvlText w:val="o"/>
      <w:lvlJc w:val="left"/>
      <w:pPr>
        <w:ind w:left="7560" w:hanging="360"/>
      </w:pPr>
      <w:rPr>
        <w:rFonts w:ascii="Courier New" w:hAnsi="Courier New" w:cs="Courier New"/>
      </w:rPr>
    </w:lvl>
    <w:lvl w:ilvl="8">
      <w:numFmt w:val="bullet"/>
      <w:lvlText w:val=""/>
      <w:lvlJc w:val="left"/>
      <w:pPr>
        <w:ind w:left="8280" w:hanging="360"/>
      </w:pPr>
      <w:rPr>
        <w:rFonts w:ascii="Wingdings" w:hAnsi="Wingdings"/>
      </w:rPr>
    </w:lvl>
  </w:abstractNum>
  <w:abstractNum w:abstractNumId="6"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DB1"/>
    <w:rsid w:val="0000144E"/>
    <w:rsid w:val="0000236D"/>
    <w:rsid w:val="00003298"/>
    <w:rsid w:val="00003EEC"/>
    <w:rsid w:val="00006925"/>
    <w:rsid w:val="00010AC1"/>
    <w:rsid w:val="000179C9"/>
    <w:rsid w:val="0002260C"/>
    <w:rsid w:val="0002306D"/>
    <w:rsid w:val="000242C8"/>
    <w:rsid w:val="0002580C"/>
    <w:rsid w:val="00027155"/>
    <w:rsid w:val="00027A7E"/>
    <w:rsid w:val="00030768"/>
    <w:rsid w:val="000318BA"/>
    <w:rsid w:val="00031DD6"/>
    <w:rsid w:val="00034151"/>
    <w:rsid w:val="00034752"/>
    <w:rsid w:val="00034A29"/>
    <w:rsid w:val="00040957"/>
    <w:rsid w:val="00042693"/>
    <w:rsid w:val="00042848"/>
    <w:rsid w:val="00042959"/>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FC4"/>
    <w:rsid w:val="00087EF2"/>
    <w:rsid w:val="0009021C"/>
    <w:rsid w:val="00090F5D"/>
    <w:rsid w:val="00091FCF"/>
    <w:rsid w:val="00092759"/>
    <w:rsid w:val="00092BD1"/>
    <w:rsid w:val="00094321"/>
    <w:rsid w:val="0009529A"/>
    <w:rsid w:val="000A102A"/>
    <w:rsid w:val="000A1A7B"/>
    <w:rsid w:val="000A1B88"/>
    <w:rsid w:val="000A1D53"/>
    <w:rsid w:val="000A23DA"/>
    <w:rsid w:val="000A674F"/>
    <w:rsid w:val="000A7BA1"/>
    <w:rsid w:val="000B1720"/>
    <w:rsid w:val="000B1DC7"/>
    <w:rsid w:val="000B5E1F"/>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1C93"/>
    <w:rsid w:val="000E29DB"/>
    <w:rsid w:val="000E3F1D"/>
    <w:rsid w:val="000E4B9C"/>
    <w:rsid w:val="000E7388"/>
    <w:rsid w:val="000E74B9"/>
    <w:rsid w:val="000F0351"/>
    <w:rsid w:val="000F1C1C"/>
    <w:rsid w:val="000F1EF3"/>
    <w:rsid w:val="000F3454"/>
    <w:rsid w:val="000F4088"/>
    <w:rsid w:val="000F411A"/>
    <w:rsid w:val="000F4F96"/>
    <w:rsid w:val="000F5805"/>
    <w:rsid w:val="000F5A07"/>
    <w:rsid w:val="000F7DB8"/>
    <w:rsid w:val="000F7E92"/>
    <w:rsid w:val="00100990"/>
    <w:rsid w:val="00102FD5"/>
    <w:rsid w:val="00104A79"/>
    <w:rsid w:val="001051B8"/>
    <w:rsid w:val="00105707"/>
    <w:rsid w:val="00105B9D"/>
    <w:rsid w:val="0010670C"/>
    <w:rsid w:val="001103FF"/>
    <w:rsid w:val="00111869"/>
    <w:rsid w:val="001139C0"/>
    <w:rsid w:val="00113EEB"/>
    <w:rsid w:val="00114259"/>
    <w:rsid w:val="00116FC6"/>
    <w:rsid w:val="001213C6"/>
    <w:rsid w:val="001219B0"/>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516EA"/>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AF9"/>
    <w:rsid w:val="00183C33"/>
    <w:rsid w:val="00184086"/>
    <w:rsid w:val="0019028F"/>
    <w:rsid w:val="001904A8"/>
    <w:rsid w:val="00193E85"/>
    <w:rsid w:val="001950B6"/>
    <w:rsid w:val="00196500"/>
    <w:rsid w:val="001A1732"/>
    <w:rsid w:val="001A2CE9"/>
    <w:rsid w:val="001A3A05"/>
    <w:rsid w:val="001A3E18"/>
    <w:rsid w:val="001A408A"/>
    <w:rsid w:val="001A585B"/>
    <w:rsid w:val="001B005B"/>
    <w:rsid w:val="001B373F"/>
    <w:rsid w:val="001B5D5F"/>
    <w:rsid w:val="001B7BE2"/>
    <w:rsid w:val="001C0CEC"/>
    <w:rsid w:val="001C270F"/>
    <w:rsid w:val="001C30D7"/>
    <w:rsid w:val="001C3AB6"/>
    <w:rsid w:val="001C3F32"/>
    <w:rsid w:val="001C425C"/>
    <w:rsid w:val="001C48B6"/>
    <w:rsid w:val="001C4C04"/>
    <w:rsid w:val="001C5006"/>
    <w:rsid w:val="001C694F"/>
    <w:rsid w:val="001C7174"/>
    <w:rsid w:val="001C721E"/>
    <w:rsid w:val="001D0D66"/>
    <w:rsid w:val="001D2048"/>
    <w:rsid w:val="001D279B"/>
    <w:rsid w:val="001D2D2B"/>
    <w:rsid w:val="001D5497"/>
    <w:rsid w:val="001D5915"/>
    <w:rsid w:val="001D6D07"/>
    <w:rsid w:val="001E10E8"/>
    <w:rsid w:val="001E260F"/>
    <w:rsid w:val="001E316F"/>
    <w:rsid w:val="001E3AAF"/>
    <w:rsid w:val="001E65F6"/>
    <w:rsid w:val="001E707D"/>
    <w:rsid w:val="001F0A6E"/>
    <w:rsid w:val="001F1959"/>
    <w:rsid w:val="001F39FA"/>
    <w:rsid w:val="001F7078"/>
    <w:rsid w:val="001F731E"/>
    <w:rsid w:val="002004CF"/>
    <w:rsid w:val="00202A04"/>
    <w:rsid w:val="00202D3A"/>
    <w:rsid w:val="002033DE"/>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A13"/>
    <w:rsid w:val="00231E9C"/>
    <w:rsid w:val="002329EE"/>
    <w:rsid w:val="002361A4"/>
    <w:rsid w:val="00236835"/>
    <w:rsid w:val="00240B17"/>
    <w:rsid w:val="00241785"/>
    <w:rsid w:val="00241D78"/>
    <w:rsid w:val="00242D13"/>
    <w:rsid w:val="00242E77"/>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801FA"/>
    <w:rsid w:val="00280B30"/>
    <w:rsid w:val="002838CC"/>
    <w:rsid w:val="002839F7"/>
    <w:rsid w:val="0028765E"/>
    <w:rsid w:val="0029037D"/>
    <w:rsid w:val="00292217"/>
    <w:rsid w:val="002937D4"/>
    <w:rsid w:val="0029388F"/>
    <w:rsid w:val="00293A02"/>
    <w:rsid w:val="002A08C8"/>
    <w:rsid w:val="002A763F"/>
    <w:rsid w:val="002A7EC0"/>
    <w:rsid w:val="002B5FB0"/>
    <w:rsid w:val="002B6E5C"/>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23D8"/>
    <w:rsid w:val="002F308B"/>
    <w:rsid w:val="002F6B34"/>
    <w:rsid w:val="002F6BC8"/>
    <w:rsid w:val="002F71DC"/>
    <w:rsid w:val="00303A36"/>
    <w:rsid w:val="00304F66"/>
    <w:rsid w:val="003053DD"/>
    <w:rsid w:val="00307CB7"/>
    <w:rsid w:val="00310B4A"/>
    <w:rsid w:val="003133C8"/>
    <w:rsid w:val="00313C30"/>
    <w:rsid w:val="0031762E"/>
    <w:rsid w:val="00320359"/>
    <w:rsid w:val="00321EDD"/>
    <w:rsid w:val="00322C16"/>
    <w:rsid w:val="003238C3"/>
    <w:rsid w:val="003241DC"/>
    <w:rsid w:val="00324BCD"/>
    <w:rsid w:val="00324F30"/>
    <w:rsid w:val="00325023"/>
    <w:rsid w:val="00325FD8"/>
    <w:rsid w:val="003265B9"/>
    <w:rsid w:val="00327232"/>
    <w:rsid w:val="00327BC6"/>
    <w:rsid w:val="00331182"/>
    <w:rsid w:val="00335AB9"/>
    <w:rsid w:val="00336DD6"/>
    <w:rsid w:val="00340EE0"/>
    <w:rsid w:val="0034272D"/>
    <w:rsid w:val="00343032"/>
    <w:rsid w:val="00345A4E"/>
    <w:rsid w:val="00345FAF"/>
    <w:rsid w:val="003464AF"/>
    <w:rsid w:val="00346F7E"/>
    <w:rsid w:val="00350762"/>
    <w:rsid w:val="00350773"/>
    <w:rsid w:val="00354BED"/>
    <w:rsid w:val="0035658A"/>
    <w:rsid w:val="0036371D"/>
    <w:rsid w:val="00364141"/>
    <w:rsid w:val="00364909"/>
    <w:rsid w:val="00364BC4"/>
    <w:rsid w:val="003678D6"/>
    <w:rsid w:val="00367EF6"/>
    <w:rsid w:val="00372E24"/>
    <w:rsid w:val="00373F2A"/>
    <w:rsid w:val="003779A2"/>
    <w:rsid w:val="0038050C"/>
    <w:rsid w:val="00380639"/>
    <w:rsid w:val="0038139C"/>
    <w:rsid w:val="00381881"/>
    <w:rsid w:val="003830F0"/>
    <w:rsid w:val="00383116"/>
    <w:rsid w:val="00383BEC"/>
    <w:rsid w:val="00383FD9"/>
    <w:rsid w:val="00386157"/>
    <w:rsid w:val="00386ADE"/>
    <w:rsid w:val="00391E14"/>
    <w:rsid w:val="003957AB"/>
    <w:rsid w:val="003959F6"/>
    <w:rsid w:val="00396920"/>
    <w:rsid w:val="003A3D13"/>
    <w:rsid w:val="003A739D"/>
    <w:rsid w:val="003A73C1"/>
    <w:rsid w:val="003B11C6"/>
    <w:rsid w:val="003B18D2"/>
    <w:rsid w:val="003B2449"/>
    <w:rsid w:val="003B2A70"/>
    <w:rsid w:val="003B6443"/>
    <w:rsid w:val="003B791E"/>
    <w:rsid w:val="003C05FE"/>
    <w:rsid w:val="003C08BE"/>
    <w:rsid w:val="003C1699"/>
    <w:rsid w:val="003C25D1"/>
    <w:rsid w:val="003C309D"/>
    <w:rsid w:val="003C464C"/>
    <w:rsid w:val="003C4698"/>
    <w:rsid w:val="003C58CC"/>
    <w:rsid w:val="003C609E"/>
    <w:rsid w:val="003C6275"/>
    <w:rsid w:val="003D389C"/>
    <w:rsid w:val="003D5D1D"/>
    <w:rsid w:val="003E14C2"/>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1A98"/>
    <w:rsid w:val="00412358"/>
    <w:rsid w:val="00415F27"/>
    <w:rsid w:val="00416934"/>
    <w:rsid w:val="00416A59"/>
    <w:rsid w:val="00417A99"/>
    <w:rsid w:val="00417CA8"/>
    <w:rsid w:val="004213DF"/>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72512"/>
    <w:rsid w:val="00475E6E"/>
    <w:rsid w:val="004773FC"/>
    <w:rsid w:val="004777ED"/>
    <w:rsid w:val="00480328"/>
    <w:rsid w:val="00480834"/>
    <w:rsid w:val="004834FC"/>
    <w:rsid w:val="00483B15"/>
    <w:rsid w:val="00483FB9"/>
    <w:rsid w:val="00484247"/>
    <w:rsid w:val="00484861"/>
    <w:rsid w:val="004863F8"/>
    <w:rsid w:val="0049389F"/>
    <w:rsid w:val="00494AE7"/>
    <w:rsid w:val="00494E21"/>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A61"/>
    <w:rsid w:val="004B6CC5"/>
    <w:rsid w:val="004C0212"/>
    <w:rsid w:val="004C05F9"/>
    <w:rsid w:val="004C0D14"/>
    <w:rsid w:val="004C3381"/>
    <w:rsid w:val="004C48AD"/>
    <w:rsid w:val="004C7378"/>
    <w:rsid w:val="004D0462"/>
    <w:rsid w:val="004D3B02"/>
    <w:rsid w:val="004D41F6"/>
    <w:rsid w:val="004D6006"/>
    <w:rsid w:val="004E0194"/>
    <w:rsid w:val="004E0CC8"/>
    <w:rsid w:val="004E0F42"/>
    <w:rsid w:val="004E1118"/>
    <w:rsid w:val="004E2E83"/>
    <w:rsid w:val="004E37BB"/>
    <w:rsid w:val="004E495D"/>
    <w:rsid w:val="004E7BEB"/>
    <w:rsid w:val="004E7CD4"/>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42275"/>
    <w:rsid w:val="00550185"/>
    <w:rsid w:val="005526C2"/>
    <w:rsid w:val="00552F74"/>
    <w:rsid w:val="0055306E"/>
    <w:rsid w:val="00553229"/>
    <w:rsid w:val="00553A31"/>
    <w:rsid w:val="00555448"/>
    <w:rsid w:val="00557F0A"/>
    <w:rsid w:val="00561C04"/>
    <w:rsid w:val="0056213B"/>
    <w:rsid w:val="00562F82"/>
    <w:rsid w:val="00563005"/>
    <w:rsid w:val="00564913"/>
    <w:rsid w:val="00571F84"/>
    <w:rsid w:val="00572024"/>
    <w:rsid w:val="00572193"/>
    <w:rsid w:val="00574A11"/>
    <w:rsid w:val="0057592D"/>
    <w:rsid w:val="005777A4"/>
    <w:rsid w:val="00577C4E"/>
    <w:rsid w:val="005800D8"/>
    <w:rsid w:val="005814C9"/>
    <w:rsid w:val="0058214A"/>
    <w:rsid w:val="005846C9"/>
    <w:rsid w:val="00585667"/>
    <w:rsid w:val="00586834"/>
    <w:rsid w:val="005873FC"/>
    <w:rsid w:val="005878FA"/>
    <w:rsid w:val="00590EAF"/>
    <w:rsid w:val="00595DA6"/>
    <w:rsid w:val="005A3BE7"/>
    <w:rsid w:val="005A63F8"/>
    <w:rsid w:val="005A6A91"/>
    <w:rsid w:val="005B0066"/>
    <w:rsid w:val="005B195F"/>
    <w:rsid w:val="005B1D0B"/>
    <w:rsid w:val="005B265D"/>
    <w:rsid w:val="005B36C2"/>
    <w:rsid w:val="005B403C"/>
    <w:rsid w:val="005B55DF"/>
    <w:rsid w:val="005B74D8"/>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5AC2"/>
    <w:rsid w:val="005E5F39"/>
    <w:rsid w:val="005E6D43"/>
    <w:rsid w:val="005F4F8E"/>
    <w:rsid w:val="005F512C"/>
    <w:rsid w:val="005F6F64"/>
    <w:rsid w:val="005F7B0A"/>
    <w:rsid w:val="005F7E84"/>
    <w:rsid w:val="00600BAE"/>
    <w:rsid w:val="00601146"/>
    <w:rsid w:val="00601299"/>
    <w:rsid w:val="006015BB"/>
    <w:rsid w:val="00602D5D"/>
    <w:rsid w:val="00603EFA"/>
    <w:rsid w:val="006054AD"/>
    <w:rsid w:val="00605C11"/>
    <w:rsid w:val="00606440"/>
    <w:rsid w:val="006078C2"/>
    <w:rsid w:val="00610BB7"/>
    <w:rsid w:val="006171A9"/>
    <w:rsid w:val="0061787F"/>
    <w:rsid w:val="00620A05"/>
    <w:rsid w:val="00621EC4"/>
    <w:rsid w:val="00622D7E"/>
    <w:rsid w:val="00623436"/>
    <w:rsid w:val="00625472"/>
    <w:rsid w:val="00634991"/>
    <w:rsid w:val="00636016"/>
    <w:rsid w:val="006406ED"/>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0360"/>
    <w:rsid w:val="00661716"/>
    <w:rsid w:val="00661BD2"/>
    <w:rsid w:val="00661EB3"/>
    <w:rsid w:val="0066385E"/>
    <w:rsid w:val="0066451B"/>
    <w:rsid w:val="00665664"/>
    <w:rsid w:val="006673E7"/>
    <w:rsid w:val="006673F4"/>
    <w:rsid w:val="0066759F"/>
    <w:rsid w:val="00674964"/>
    <w:rsid w:val="00675B48"/>
    <w:rsid w:val="0067632D"/>
    <w:rsid w:val="00677F21"/>
    <w:rsid w:val="00680050"/>
    <w:rsid w:val="00680543"/>
    <w:rsid w:val="006808C7"/>
    <w:rsid w:val="00680B7E"/>
    <w:rsid w:val="00683124"/>
    <w:rsid w:val="00683B94"/>
    <w:rsid w:val="00683E3C"/>
    <w:rsid w:val="006865F8"/>
    <w:rsid w:val="00686692"/>
    <w:rsid w:val="00693033"/>
    <w:rsid w:val="00693321"/>
    <w:rsid w:val="0069402F"/>
    <w:rsid w:val="00694363"/>
    <w:rsid w:val="006945B7"/>
    <w:rsid w:val="00694893"/>
    <w:rsid w:val="00694DD9"/>
    <w:rsid w:val="0069603B"/>
    <w:rsid w:val="006977DF"/>
    <w:rsid w:val="006A0019"/>
    <w:rsid w:val="006A042E"/>
    <w:rsid w:val="006A12B1"/>
    <w:rsid w:val="006A32C1"/>
    <w:rsid w:val="006A414A"/>
    <w:rsid w:val="006A52E8"/>
    <w:rsid w:val="006A5F42"/>
    <w:rsid w:val="006A6103"/>
    <w:rsid w:val="006B03E3"/>
    <w:rsid w:val="006B10ED"/>
    <w:rsid w:val="006B156A"/>
    <w:rsid w:val="006B366A"/>
    <w:rsid w:val="006B51B2"/>
    <w:rsid w:val="006B5B60"/>
    <w:rsid w:val="006B6DA6"/>
    <w:rsid w:val="006C05F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721C"/>
    <w:rsid w:val="006E7ADF"/>
    <w:rsid w:val="006F3EE2"/>
    <w:rsid w:val="006F426A"/>
    <w:rsid w:val="006F5424"/>
    <w:rsid w:val="006F66ED"/>
    <w:rsid w:val="00700CBD"/>
    <w:rsid w:val="007028C7"/>
    <w:rsid w:val="00704462"/>
    <w:rsid w:val="0070743B"/>
    <w:rsid w:val="00710B52"/>
    <w:rsid w:val="00710C7E"/>
    <w:rsid w:val="007112FB"/>
    <w:rsid w:val="007120CE"/>
    <w:rsid w:val="00712E0E"/>
    <w:rsid w:val="00714218"/>
    <w:rsid w:val="00715FCC"/>
    <w:rsid w:val="00717E9A"/>
    <w:rsid w:val="007217A7"/>
    <w:rsid w:val="007229EB"/>
    <w:rsid w:val="00724CAD"/>
    <w:rsid w:val="0072732C"/>
    <w:rsid w:val="00727B84"/>
    <w:rsid w:val="00727BF6"/>
    <w:rsid w:val="00733BCC"/>
    <w:rsid w:val="00733DE0"/>
    <w:rsid w:val="007357C5"/>
    <w:rsid w:val="00736CEF"/>
    <w:rsid w:val="00737269"/>
    <w:rsid w:val="007376B8"/>
    <w:rsid w:val="0074031F"/>
    <w:rsid w:val="0074032D"/>
    <w:rsid w:val="00740D25"/>
    <w:rsid w:val="00741328"/>
    <w:rsid w:val="00741BBA"/>
    <w:rsid w:val="007465A4"/>
    <w:rsid w:val="00747AC8"/>
    <w:rsid w:val="00747B3E"/>
    <w:rsid w:val="00751727"/>
    <w:rsid w:val="00752569"/>
    <w:rsid w:val="007530DA"/>
    <w:rsid w:val="00753220"/>
    <w:rsid w:val="00754103"/>
    <w:rsid w:val="00755873"/>
    <w:rsid w:val="00755D73"/>
    <w:rsid w:val="0075696E"/>
    <w:rsid w:val="00756F76"/>
    <w:rsid w:val="00761D03"/>
    <w:rsid w:val="00762644"/>
    <w:rsid w:val="007656F9"/>
    <w:rsid w:val="00766C4B"/>
    <w:rsid w:val="007679B9"/>
    <w:rsid w:val="007701A1"/>
    <w:rsid w:val="00773BCC"/>
    <w:rsid w:val="00776488"/>
    <w:rsid w:val="00776572"/>
    <w:rsid w:val="00776AC4"/>
    <w:rsid w:val="0077738D"/>
    <w:rsid w:val="007774C2"/>
    <w:rsid w:val="0078340C"/>
    <w:rsid w:val="00784F62"/>
    <w:rsid w:val="00787D28"/>
    <w:rsid w:val="0079000C"/>
    <w:rsid w:val="00790D93"/>
    <w:rsid w:val="00791CD7"/>
    <w:rsid w:val="0079430D"/>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05F5"/>
    <w:rsid w:val="0080329B"/>
    <w:rsid w:val="00803805"/>
    <w:rsid w:val="008042AA"/>
    <w:rsid w:val="0080582D"/>
    <w:rsid w:val="0080756C"/>
    <w:rsid w:val="0081325F"/>
    <w:rsid w:val="008139DB"/>
    <w:rsid w:val="00813E50"/>
    <w:rsid w:val="008178A3"/>
    <w:rsid w:val="00821BEA"/>
    <w:rsid w:val="00822758"/>
    <w:rsid w:val="0082594B"/>
    <w:rsid w:val="00826293"/>
    <w:rsid w:val="00827ECB"/>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5A25"/>
    <w:rsid w:val="0087676D"/>
    <w:rsid w:val="00877468"/>
    <w:rsid w:val="00880180"/>
    <w:rsid w:val="008819F6"/>
    <w:rsid w:val="00881F71"/>
    <w:rsid w:val="00883A1F"/>
    <w:rsid w:val="00884688"/>
    <w:rsid w:val="00885C6F"/>
    <w:rsid w:val="00887146"/>
    <w:rsid w:val="00887874"/>
    <w:rsid w:val="008926EA"/>
    <w:rsid w:val="008941DB"/>
    <w:rsid w:val="008948E0"/>
    <w:rsid w:val="00894C85"/>
    <w:rsid w:val="00895C45"/>
    <w:rsid w:val="008979B9"/>
    <w:rsid w:val="008A04D0"/>
    <w:rsid w:val="008A123A"/>
    <w:rsid w:val="008A16EA"/>
    <w:rsid w:val="008A7FA6"/>
    <w:rsid w:val="008B0C2F"/>
    <w:rsid w:val="008B6162"/>
    <w:rsid w:val="008C04BB"/>
    <w:rsid w:val="008C04DF"/>
    <w:rsid w:val="008C0C9C"/>
    <w:rsid w:val="008C11BB"/>
    <w:rsid w:val="008C1971"/>
    <w:rsid w:val="008C21B1"/>
    <w:rsid w:val="008C4543"/>
    <w:rsid w:val="008C4FE8"/>
    <w:rsid w:val="008D07D3"/>
    <w:rsid w:val="008D2CAF"/>
    <w:rsid w:val="008D3ACE"/>
    <w:rsid w:val="008D51CC"/>
    <w:rsid w:val="008D7FF3"/>
    <w:rsid w:val="008E06F2"/>
    <w:rsid w:val="008E17B1"/>
    <w:rsid w:val="008E1B47"/>
    <w:rsid w:val="008E20C1"/>
    <w:rsid w:val="008E4F95"/>
    <w:rsid w:val="008F1BB5"/>
    <w:rsid w:val="008F4D52"/>
    <w:rsid w:val="008F4E41"/>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559F"/>
    <w:rsid w:val="00927FEB"/>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AE9"/>
    <w:rsid w:val="00950D81"/>
    <w:rsid w:val="00951B95"/>
    <w:rsid w:val="00952CB2"/>
    <w:rsid w:val="009543EB"/>
    <w:rsid w:val="009549A5"/>
    <w:rsid w:val="00957144"/>
    <w:rsid w:val="0096164A"/>
    <w:rsid w:val="00961FB4"/>
    <w:rsid w:val="009623AB"/>
    <w:rsid w:val="00965EAC"/>
    <w:rsid w:val="00967F24"/>
    <w:rsid w:val="00970A6B"/>
    <w:rsid w:val="00971178"/>
    <w:rsid w:val="009742D3"/>
    <w:rsid w:val="009750BB"/>
    <w:rsid w:val="00975E13"/>
    <w:rsid w:val="009763C4"/>
    <w:rsid w:val="00976D57"/>
    <w:rsid w:val="00977A25"/>
    <w:rsid w:val="009803F1"/>
    <w:rsid w:val="00980D5A"/>
    <w:rsid w:val="0098176E"/>
    <w:rsid w:val="009844F7"/>
    <w:rsid w:val="00985686"/>
    <w:rsid w:val="00987536"/>
    <w:rsid w:val="00987810"/>
    <w:rsid w:val="00990192"/>
    <w:rsid w:val="0099079E"/>
    <w:rsid w:val="00990902"/>
    <w:rsid w:val="00991DC3"/>
    <w:rsid w:val="009947E7"/>
    <w:rsid w:val="00995010"/>
    <w:rsid w:val="00995FFD"/>
    <w:rsid w:val="009A45B0"/>
    <w:rsid w:val="009A6A6F"/>
    <w:rsid w:val="009A6D51"/>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DFC"/>
    <w:rsid w:val="009E1D10"/>
    <w:rsid w:val="009E3B74"/>
    <w:rsid w:val="009E47BF"/>
    <w:rsid w:val="009E5B74"/>
    <w:rsid w:val="009E7C14"/>
    <w:rsid w:val="009F1266"/>
    <w:rsid w:val="009F419C"/>
    <w:rsid w:val="009F43E0"/>
    <w:rsid w:val="009F65EF"/>
    <w:rsid w:val="009F6CBB"/>
    <w:rsid w:val="00A00866"/>
    <w:rsid w:val="00A025E5"/>
    <w:rsid w:val="00A055A5"/>
    <w:rsid w:val="00A06703"/>
    <w:rsid w:val="00A12A7C"/>
    <w:rsid w:val="00A1330E"/>
    <w:rsid w:val="00A137D5"/>
    <w:rsid w:val="00A1461F"/>
    <w:rsid w:val="00A14E4B"/>
    <w:rsid w:val="00A20E8F"/>
    <w:rsid w:val="00A22DCF"/>
    <w:rsid w:val="00A22DFD"/>
    <w:rsid w:val="00A2507E"/>
    <w:rsid w:val="00A25562"/>
    <w:rsid w:val="00A340C0"/>
    <w:rsid w:val="00A36676"/>
    <w:rsid w:val="00A375DC"/>
    <w:rsid w:val="00A402A1"/>
    <w:rsid w:val="00A402D8"/>
    <w:rsid w:val="00A40E70"/>
    <w:rsid w:val="00A43154"/>
    <w:rsid w:val="00A44175"/>
    <w:rsid w:val="00A46A2D"/>
    <w:rsid w:val="00A50CE8"/>
    <w:rsid w:val="00A50D22"/>
    <w:rsid w:val="00A512C3"/>
    <w:rsid w:val="00A52A4C"/>
    <w:rsid w:val="00A562C5"/>
    <w:rsid w:val="00A571FE"/>
    <w:rsid w:val="00A60395"/>
    <w:rsid w:val="00A622B3"/>
    <w:rsid w:val="00A6287E"/>
    <w:rsid w:val="00A63609"/>
    <w:rsid w:val="00A63B8B"/>
    <w:rsid w:val="00A64D25"/>
    <w:rsid w:val="00A66034"/>
    <w:rsid w:val="00A73CA4"/>
    <w:rsid w:val="00A76CE0"/>
    <w:rsid w:val="00A77880"/>
    <w:rsid w:val="00A77C2C"/>
    <w:rsid w:val="00A80062"/>
    <w:rsid w:val="00A804CD"/>
    <w:rsid w:val="00A82891"/>
    <w:rsid w:val="00A83F90"/>
    <w:rsid w:val="00A841CC"/>
    <w:rsid w:val="00A856EB"/>
    <w:rsid w:val="00A86069"/>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C079B"/>
    <w:rsid w:val="00AC158A"/>
    <w:rsid w:val="00AC2E11"/>
    <w:rsid w:val="00AC4F34"/>
    <w:rsid w:val="00AC6EC2"/>
    <w:rsid w:val="00AC7C69"/>
    <w:rsid w:val="00AD0E41"/>
    <w:rsid w:val="00AD5FB4"/>
    <w:rsid w:val="00AE28BC"/>
    <w:rsid w:val="00AE3A63"/>
    <w:rsid w:val="00AE4552"/>
    <w:rsid w:val="00AE5435"/>
    <w:rsid w:val="00AE616D"/>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4561"/>
    <w:rsid w:val="00B14C20"/>
    <w:rsid w:val="00B16238"/>
    <w:rsid w:val="00B17973"/>
    <w:rsid w:val="00B20CFB"/>
    <w:rsid w:val="00B222EE"/>
    <w:rsid w:val="00B236EC"/>
    <w:rsid w:val="00B23F8B"/>
    <w:rsid w:val="00B264E8"/>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DB6"/>
    <w:rsid w:val="00B77DBF"/>
    <w:rsid w:val="00B80947"/>
    <w:rsid w:val="00B810DF"/>
    <w:rsid w:val="00B81FBB"/>
    <w:rsid w:val="00B82903"/>
    <w:rsid w:val="00B86837"/>
    <w:rsid w:val="00B902B9"/>
    <w:rsid w:val="00B904B3"/>
    <w:rsid w:val="00B90989"/>
    <w:rsid w:val="00B911C0"/>
    <w:rsid w:val="00B92C59"/>
    <w:rsid w:val="00B95BFE"/>
    <w:rsid w:val="00B96C22"/>
    <w:rsid w:val="00B972D3"/>
    <w:rsid w:val="00B97B29"/>
    <w:rsid w:val="00BA1705"/>
    <w:rsid w:val="00BA2132"/>
    <w:rsid w:val="00BA6694"/>
    <w:rsid w:val="00BA6F63"/>
    <w:rsid w:val="00BA7232"/>
    <w:rsid w:val="00BA77D6"/>
    <w:rsid w:val="00BB3493"/>
    <w:rsid w:val="00BB4389"/>
    <w:rsid w:val="00BB5884"/>
    <w:rsid w:val="00BB61BE"/>
    <w:rsid w:val="00BB7101"/>
    <w:rsid w:val="00BC0B6D"/>
    <w:rsid w:val="00BC2797"/>
    <w:rsid w:val="00BC4227"/>
    <w:rsid w:val="00BC48D2"/>
    <w:rsid w:val="00BC788A"/>
    <w:rsid w:val="00BD1366"/>
    <w:rsid w:val="00BD3419"/>
    <w:rsid w:val="00BD43E5"/>
    <w:rsid w:val="00BD4824"/>
    <w:rsid w:val="00BD59E3"/>
    <w:rsid w:val="00BD7FD7"/>
    <w:rsid w:val="00BE0315"/>
    <w:rsid w:val="00BE05F0"/>
    <w:rsid w:val="00BE06CF"/>
    <w:rsid w:val="00BE1772"/>
    <w:rsid w:val="00BE1DEB"/>
    <w:rsid w:val="00BF031F"/>
    <w:rsid w:val="00BF0CB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77EE"/>
    <w:rsid w:val="00C31702"/>
    <w:rsid w:val="00C322F1"/>
    <w:rsid w:val="00C32D6C"/>
    <w:rsid w:val="00C33284"/>
    <w:rsid w:val="00C351D1"/>
    <w:rsid w:val="00C35844"/>
    <w:rsid w:val="00C371FA"/>
    <w:rsid w:val="00C41B20"/>
    <w:rsid w:val="00C429EE"/>
    <w:rsid w:val="00C4319E"/>
    <w:rsid w:val="00C449AF"/>
    <w:rsid w:val="00C45324"/>
    <w:rsid w:val="00C46019"/>
    <w:rsid w:val="00C46F61"/>
    <w:rsid w:val="00C478CB"/>
    <w:rsid w:val="00C47BB2"/>
    <w:rsid w:val="00C47CF0"/>
    <w:rsid w:val="00C51C28"/>
    <w:rsid w:val="00C532B3"/>
    <w:rsid w:val="00C53456"/>
    <w:rsid w:val="00C55B69"/>
    <w:rsid w:val="00C57922"/>
    <w:rsid w:val="00C60C2D"/>
    <w:rsid w:val="00C61B57"/>
    <w:rsid w:val="00C636C5"/>
    <w:rsid w:val="00C6485F"/>
    <w:rsid w:val="00C654CB"/>
    <w:rsid w:val="00C65DE0"/>
    <w:rsid w:val="00C70043"/>
    <w:rsid w:val="00C735FB"/>
    <w:rsid w:val="00C73861"/>
    <w:rsid w:val="00C7432C"/>
    <w:rsid w:val="00C74532"/>
    <w:rsid w:val="00C74F03"/>
    <w:rsid w:val="00C75791"/>
    <w:rsid w:val="00C76304"/>
    <w:rsid w:val="00C80D3A"/>
    <w:rsid w:val="00C824A5"/>
    <w:rsid w:val="00C83B2D"/>
    <w:rsid w:val="00C84955"/>
    <w:rsid w:val="00C86467"/>
    <w:rsid w:val="00C86AB2"/>
    <w:rsid w:val="00C86B23"/>
    <w:rsid w:val="00C9060F"/>
    <w:rsid w:val="00C942C1"/>
    <w:rsid w:val="00C95C72"/>
    <w:rsid w:val="00C96B86"/>
    <w:rsid w:val="00C97DF7"/>
    <w:rsid w:val="00CA0560"/>
    <w:rsid w:val="00CA15A6"/>
    <w:rsid w:val="00CA1A6A"/>
    <w:rsid w:val="00CA6108"/>
    <w:rsid w:val="00CA664F"/>
    <w:rsid w:val="00CA7867"/>
    <w:rsid w:val="00CB1D8D"/>
    <w:rsid w:val="00CB4667"/>
    <w:rsid w:val="00CB4E3C"/>
    <w:rsid w:val="00CB766B"/>
    <w:rsid w:val="00CC0061"/>
    <w:rsid w:val="00CC0706"/>
    <w:rsid w:val="00CC356D"/>
    <w:rsid w:val="00CC65ED"/>
    <w:rsid w:val="00CC67BB"/>
    <w:rsid w:val="00CD109D"/>
    <w:rsid w:val="00CD1E9D"/>
    <w:rsid w:val="00CD42DA"/>
    <w:rsid w:val="00CD60AD"/>
    <w:rsid w:val="00CD6ABB"/>
    <w:rsid w:val="00CE1EEE"/>
    <w:rsid w:val="00CE5CF2"/>
    <w:rsid w:val="00CE6D92"/>
    <w:rsid w:val="00CE7E6A"/>
    <w:rsid w:val="00CF13B6"/>
    <w:rsid w:val="00CF3572"/>
    <w:rsid w:val="00CF734A"/>
    <w:rsid w:val="00D00A5D"/>
    <w:rsid w:val="00D00A87"/>
    <w:rsid w:val="00D0210E"/>
    <w:rsid w:val="00D02303"/>
    <w:rsid w:val="00D02F2F"/>
    <w:rsid w:val="00D03F38"/>
    <w:rsid w:val="00D05A6C"/>
    <w:rsid w:val="00D1010E"/>
    <w:rsid w:val="00D1074E"/>
    <w:rsid w:val="00D11272"/>
    <w:rsid w:val="00D116DB"/>
    <w:rsid w:val="00D13087"/>
    <w:rsid w:val="00D15854"/>
    <w:rsid w:val="00D16FA0"/>
    <w:rsid w:val="00D17875"/>
    <w:rsid w:val="00D2214D"/>
    <w:rsid w:val="00D2604C"/>
    <w:rsid w:val="00D26DCE"/>
    <w:rsid w:val="00D30DD1"/>
    <w:rsid w:val="00D3250C"/>
    <w:rsid w:val="00D34455"/>
    <w:rsid w:val="00D37CCE"/>
    <w:rsid w:val="00D42103"/>
    <w:rsid w:val="00D442A3"/>
    <w:rsid w:val="00D44BB3"/>
    <w:rsid w:val="00D45EF2"/>
    <w:rsid w:val="00D473D8"/>
    <w:rsid w:val="00D47E0A"/>
    <w:rsid w:val="00D5130A"/>
    <w:rsid w:val="00D51769"/>
    <w:rsid w:val="00D522D8"/>
    <w:rsid w:val="00D52359"/>
    <w:rsid w:val="00D5458D"/>
    <w:rsid w:val="00D5491C"/>
    <w:rsid w:val="00D554E8"/>
    <w:rsid w:val="00D5748E"/>
    <w:rsid w:val="00D612A9"/>
    <w:rsid w:val="00D61FEF"/>
    <w:rsid w:val="00D63236"/>
    <w:rsid w:val="00D64067"/>
    <w:rsid w:val="00D66935"/>
    <w:rsid w:val="00D675E3"/>
    <w:rsid w:val="00D7051D"/>
    <w:rsid w:val="00D72CD7"/>
    <w:rsid w:val="00D76099"/>
    <w:rsid w:val="00D80021"/>
    <w:rsid w:val="00D804B8"/>
    <w:rsid w:val="00D8114A"/>
    <w:rsid w:val="00D81AD4"/>
    <w:rsid w:val="00D8415D"/>
    <w:rsid w:val="00D8724C"/>
    <w:rsid w:val="00D903DE"/>
    <w:rsid w:val="00D919AA"/>
    <w:rsid w:val="00D92503"/>
    <w:rsid w:val="00D938C1"/>
    <w:rsid w:val="00D94FEF"/>
    <w:rsid w:val="00D9557C"/>
    <w:rsid w:val="00DA0A64"/>
    <w:rsid w:val="00DA2494"/>
    <w:rsid w:val="00DA47A8"/>
    <w:rsid w:val="00DA5164"/>
    <w:rsid w:val="00DA520E"/>
    <w:rsid w:val="00DA5235"/>
    <w:rsid w:val="00DB206B"/>
    <w:rsid w:val="00DB3592"/>
    <w:rsid w:val="00DB3751"/>
    <w:rsid w:val="00DB3D26"/>
    <w:rsid w:val="00DB4338"/>
    <w:rsid w:val="00DB4669"/>
    <w:rsid w:val="00DB4C93"/>
    <w:rsid w:val="00DB4FB2"/>
    <w:rsid w:val="00DB64EF"/>
    <w:rsid w:val="00DC23E5"/>
    <w:rsid w:val="00DC3F8A"/>
    <w:rsid w:val="00DC6AE3"/>
    <w:rsid w:val="00DC79CF"/>
    <w:rsid w:val="00DD2144"/>
    <w:rsid w:val="00DD3355"/>
    <w:rsid w:val="00DD3603"/>
    <w:rsid w:val="00DD46E9"/>
    <w:rsid w:val="00DD4C62"/>
    <w:rsid w:val="00DE0D00"/>
    <w:rsid w:val="00DE16CD"/>
    <w:rsid w:val="00DE6492"/>
    <w:rsid w:val="00DE7625"/>
    <w:rsid w:val="00DF09DA"/>
    <w:rsid w:val="00DF0DC5"/>
    <w:rsid w:val="00DF1914"/>
    <w:rsid w:val="00DF280B"/>
    <w:rsid w:val="00DF28A7"/>
    <w:rsid w:val="00DF28B7"/>
    <w:rsid w:val="00DF3B36"/>
    <w:rsid w:val="00DF56A1"/>
    <w:rsid w:val="00DF68C0"/>
    <w:rsid w:val="00DF6C53"/>
    <w:rsid w:val="00DF6CD5"/>
    <w:rsid w:val="00DF7F5A"/>
    <w:rsid w:val="00E00FFD"/>
    <w:rsid w:val="00E014B9"/>
    <w:rsid w:val="00E01993"/>
    <w:rsid w:val="00E04C02"/>
    <w:rsid w:val="00E053B2"/>
    <w:rsid w:val="00E0626F"/>
    <w:rsid w:val="00E06E93"/>
    <w:rsid w:val="00E07FDD"/>
    <w:rsid w:val="00E1281E"/>
    <w:rsid w:val="00E139D5"/>
    <w:rsid w:val="00E14CA5"/>
    <w:rsid w:val="00E152DF"/>
    <w:rsid w:val="00E2036F"/>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6268"/>
    <w:rsid w:val="00E552F7"/>
    <w:rsid w:val="00E55854"/>
    <w:rsid w:val="00E57624"/>
    <w:rsid w:val="00E61DAB"/>
    <w:rsid w:val="00E628AD"/>
    <w:rsid w:val="00E64339"/>
    <w:rsid w:val="00E66BA6"/>
    <w:rsid w:val="00E677BD"/>
    <w:rsid w:val="00E70C44"/>
    <w:rsid w:val="00E72B6E"/>
    <w:rsid w:val="00E73896"/>
    <w:rsid w:val="00E74616"/>
    <w:rsid w:val="00E80B7F"/>
    <w:rsid w:val="00E80CDA"/>
    <w:rsid w:val="00E812E9"/>
    <w:rsid w:val="00E82BD5"/>
    <w:rsid w:val="00E84061"/>
    <w:rsid w:val="00E8445B"/>
    <w:rsid w:val="00E84D9B"/>
    <w:rsid w:val="00E85291"/>
    <w:rsid w:val="00E85E3E"/>
    <w:rsid w:val="00E86C3D"/>
    <w:rsid w:val="00E872A7"/>
    <w:rsid w:val="00E94E26"/>
    <w:rsid w:val="00E956A8"/>
    <w:rsid w:val="00E963AD"/>
    <w:rsid w:val="00E96685"/>
    <w:rsid w:val="00EA0604"/>
    <w:rsid w:val="00EA19E9"/>
    <w:rsid w:val="00EA1C03"/>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8DD"/>
    <w:rsid w:val="00ED53EE"/>
    <w:rsid w:val="00ED79E7"/>
    <w:rsid w:val="00EE10F4"/>
    <w:rsid w:val="00EE198A"/>
    <w:rsid w:val="00EE1F4D"/>
    <w:rsid w:val="00EE220A"/>
    <w:rsid w:val="00EE2853"/>
    <w:rsid w:val="00EE2EBF"/>
    <w:rsid w:val="00EE300B"/>
    <w:rsid w:val="00EE3DDC"/>
    <w:rsid w:val="00EE5E15"/>
    <w:rsid w:val="00EE7304"/>
    <w:rsid w:val="00EE7579"/>
    <w:rsid w:val="00EE77C8"/>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8DE"/>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15E4"/>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5054"/>
    <w:rsid w:val="00F669C5"/>
    <w:rsid w:val="00F70F2B"/>
    <w:rsid w:val="00F7224D"/>
    <w:rsid w:val="00F72DEA"/>
    <w:rsid w:val="00F73B4B"/>
    <w:rsid w:val="00F76888"/>
    <w:rsid w:val="00F77F40"/>
    <w:rsid w:val="00F803B0"/>
    <w:rsid w:val="00F80683"/>
    <w:rsid w:val="00F80E14"/>
    <w:rsid w:val="00F80E25"/>
    <w:rsid w:val="00F869B7"/>
    <w:rsid w:val="00F9005C"/>
    <w:rsid w:val="00F904AE"/>
    <w:rsid w:val="00F91CE7"/>
    <w:rsid w:val="00F92C20"/>
    <w:rsid w:val="00F954D4"/>
    <w:rsid w:val="00FA0966"/>
    <w:rsid w:val="00FA1E5C"/>
    <w:rsid w:val="00FA348E"/>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46A1"/>
    <w:rsid w:val="00FB4FE6"/>
    <w:rsid w:val="00FB5D74"/>
    <w:rsid w:val="00FB7121"/>
    <w:rsid w:val="00FC08A2"/>
    <w:rsid w:val="00FC12F8"/>
    <w:rsid w:val="00FC23AE"/>
    <w:rsid w:val="00FC25B6"/>
    <w:rsid w:val="00FC31E2"/>
    <w:rsid w:val="00FC37BF"/>
    <w:rsid w:val="00FC3A0E"/>
    <w:rsid w:val="00FC4B44"/>
    <w:rsid w:val="00FC5AD8"/>
    <w:rsid w:val="00FD0A3A"/>
    <w:rsid w:val="00FD16AF"/>
    <w:rsid w:val="00FD1F4D"/>
    <w:rsid w:val="00FD2A3E"/>
    <w:rsid w:val="00FD4342"/>
    <w:rsid w:val="00FD7077"/>
    <w:rsid w:val="00FE196D"/>
    <w:rsid w:val="00FE1AB9"/>
    <w:rsid w:val="00FE5B7C"/>
    <w:rsid w:val="00FE5BBC"/>
    <w:rsid w:val="00FE785C"/>
    <w:rsid w:val="00FF507F"/>
    <w:rsid w:val="00FF649E"/>
    <w:rsid w:val="00FF6796"/>
    <w:rsid w:val="00FF6FCC"/>
    <w:rsid w:val="00FF6FE3"/>
    <w:rsid w:val="00FF709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3A6D174C-D785-4E71-BB59-2AF09E73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3"/>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5"/>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 w:type="character" w:customStyle="1" w:styleId="PargrafodaListaChar">
    <w:name w:val="Parágrafo da Lista Char"/>
    <w:basedOn w:val="Fontepargpadro"/>
    <w:link w:val="PargrafodaLista"/>
    <w:uiPriority w:val="1"/>
    <w:rsid w:val="005B265D"/>
    <w:rPr>
      <w:rFonts w:ascii="Arial" w:hAnsi="Arial" w:cs="Tahoma"/>
      <w:szCs w:val="24"/>
    </w:rPr>
  </w:style>
  <w:style w:type="paragraph" w:customStyle="1" w:styleId="Textbody">
    <w:name w:val="Text body"/>
    <w:basedOn w:val="Normal"/>
    <w:rsid w:val="009947E7"/>
    <w:pPr>
      <w:suppressAutoHyphens/>
      <w:autoSpaceDN w:val="0"/>
      <w:spacing w:after="140" w:line="276" w:lineRule="auto"/>
      <w:textAlignment w:val="baseline"/>
    </w:pPr>
    <w:rPr>
      <w:rFonts w:ascii="Liberation Serif" w:eastAsia="SimSun" w:hAnsi="Liberation Serif" w:cs="Lucida Sans"/>
      <w:kern w:val="3"/>
      <w:sz w:val="24"/>
      <w:lang w:eastAsia="zh-CN" w:bidi="hi-IN"/>
    </w:rPr>
  </w:style>
  <w:style w:type="paragraph" w:customStyle="1" w:styleId="Standard">
    <w:name w:val="Standard"/>
    <w:rsid w:val="0069402F"/>
    <w:pPr>
      <w:suppressAutoHyphens/>
      <w:autoSpaceDN w:val="0"/>
      <w:textAlignment w:val="baseline"/>
    </w:pPr>
    <w:rPr>
      <w:rFonts w:ascii="Liberation Serif" w:eastAsia="SimSun" w:hAnsi="Liberation Serif" w:cs="Lucida Sans"/>
      <w:kern w:val="3"/>
      <w:sz w:val="24"/>
      <w:szCs w:val="24"/>
      <w:lang w:eastAsia="zh-CN" w:bidi="hi-IN"/>
    </w:rPr>
  </w:style>
  <w:style w:type="paragraph" w:customStyle="1" w:styleId="paragrafonumeradonivel2">
    <w:name w:val="paragrafo_numerado_nivel2"/>
    <w:basedOn w:val="Normal"/>
    <w:rsid w:val="00FC08A2"/>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9209">
      <w:bodyDiv w:val="1"/>
      <w:marLeft w:val="0"/>
      <w:marRight w:val="0"/>
      <w:marTop w:val="0"/>
      <w:marBottom w:val="0"/>
      <w:divBdr>
        <w:top w:val="none" w:sz="0" w:space="0" w:color="auto"/>
        <w:left w:val="none" w:sz="0" w:space="0" w:color="auto"/>
        <w:bottom w:val="none" w:sz="0" w:space="0" w:color="auto"/>
        <w:right w:val="none" w:sz="0" w:space="0" w:color="auto"/>
      </w:divBdr>
    </w:div>
    <w:div w:id="9883907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1567789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576481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6012807">
      <w:bodyDiv w:val="1"/>
      <w:marLeft w:val="0"/>
      <w:marRight w:val="0"/>
      <w:marTop w:val="0"/>
      <w:marBottom w:val="0"/>
      <w:divBdr>
        <w:top w:val="none" w:sz="0" w:space="0" w:color="auto"/>
        <w:left w:val="none" w:sz="0" w:space="0" w:color="auto"/>
        <w:bottom w:val="none" w:sz="0" w:space="0" w:color="auto"/>
        <w:right w:val="none" w:sz="0" w:space="0" w:color="auto"/>
      </w:divBdr>
    </w:div>
    <w:div w:id="1274290950">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56975227">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2198056">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A2ADC9-E95A-4931-8CB3-D90D844CA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3144</TotalTime>
  <Pages>19</Pages>
  <Words>8270</Words>
  <Characters>44662</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Levi Belem Teles</cp:lastModifiedBy>
  <cp:revision>58</cp:revision>
  <cp:lastPrinted>2017-09-20T11:39:00Z</cp:lastPrinted>
  <dcterms:created xsi:type="dcterms:W3CDTF">2020-01-20T18:34:00Z</dcterms:created>
  <dcterms:modified xsi:type="dcterms:W3CDTF">2020-11-11T16:53:00Z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